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Cahier des charges</w:t>
      </w:r>
    </w:p>
    <w:p>
      <w:pPr>
        <w:spacing w:after="240"/>
      </w:pPr>
      <w:r>
        <w:rPr>
          <w:b/>
          <w:i w:val="0"/>
          <w:color w:val="1B263B"/>
          <w:sz w:val="26"/>
        </w:rPr>
        <w:t>Reprise de matériel informatique en fin d'usage : enlèvement, effacement certifié des données, réemploi et recyclage</w:t>
      </w:r>
    </w:p>
    <w:tbl>
      <w:tblPr>
        <w:tblStyle w:val="TableGrid"/>
        <w:tblW w:type="auto" w:w="0"/>
        <w:jc w:val="center"/>
        <w:tblLook w:firstColumn="1" w:firstRow="1" w:lastColumn="0" w:lastRow="0" w:noHBand="0" w:noVBand="1" w:val="04A0"/>
      </w:tblPr>
      <w:tblGrid>
        <w:gridCol w:w="4816"/>
        <w:gridCol w:w="4816"/>
      </w:tblGrid>
      <w:tr>
        <w:trPr>
          <w:tblHeader w:val="true"/>
        </w:trPr>
        <w:tc>
          <w:tcPr>
            <w:tcW w:type="dxa" w:w="3118"/>
            <w:shd w:val="clear" w:color="auto" w:fill="E7EAF0"/>
          </w:tcPr>
          <w:p>
            <w:r/>
            <w:r>
              <w:rPr>
                <w:b/>
                <w:i w:val="0"/>
                <w:sz w:val="20"/>
              </w:rPr>
              <w:t>Rubrique</w:t>
            </w:r>
          </w:p>
        </w:tc>
        <w:tc>
          <w:tcPr>
            <w:tcW w:type="dxa" w:w="6180"/>
            <w:shd w:val="clear" w:color="auto" w:fill="E7EAF0"/>
          </w:tcPr>
          <w:p>
            <w:r/>
            <w:r>
              <w:rPr>
                <w:b/>
                <w:i w:val="0"/>
                <w:sz w:val="20"/>
              </w:rPr>
              <w:t>À compléter</w:t>
            </w:r>
          </w:p>
        </w:tc>
      </w:tr>
      <w:tr>
        <w:tc>
          <w:tcPr>
            <w:tcW w:type="dxa" w:w="3118"/>
          </w:tcPr>
          <w:p>
            <w:r/>
            <w:r>
              <w:rPr>
                <w:b w:val="0"/>
                <w:i w:val="0"/>
                <w:sz w:val="20"/>
              </w:rPr>
              <w:t>Organisme cédant</w:t>
            </w:r>
          </w:p>
        </w:tc>
        <w:tc>
          <w:tcPr>
            <w:tcW w:type="dxa" w:w="6180"/>
          </w:tcPr>
          <w:p>
            <w:r/>
            <w:r>
              <w:rPr>
                <w:b w:val="0"/>
                <w:i w:val="0"/>
                <w:sz w:val="20"/>
                <w:highlight w:val="yellow"/>
              </w:rPr>
              <w:t>[Raison sociale, SIREN, adresse]</w:t>
            </w:r>
          </w:p>
        </w:tc>
      </w:tr>
      <w:tr>
        <w:tc>
          <w:tcPr>
            <w:tcW w:type="dxa" w:w="3118"/>
          </w:tcPr>
          <w:p>
            <w:r/>
            <w:r>
              <w:rPr>
                <w:b w:val="0"/>
                <w:i w:val="0"/>
                <w:sz w:val="20"/>
              </w:rPr>
              <w:t>Référence de la consultation</w:t>
            </w:r>
          </w:p>
        </w:tc>
        <w:tc>
          <w:tcPr>
            <w:tcW w:type="dxa" w:w="6180"/>
          </w:tcPr>
          <w:p>
            <w:r/>
            <w:r>
              <w:rPr>
                <w:b w:val="0"/>
                <w:i w:val="0"/>
                <w:sz w:val="20"/>
                <w:highlight w:val="yellow"/>
              </w:rPr>
              <w:t>[Référence]</w:t>
            </w:r>
          </w:p>
        </w:tc>
      </w:tr>
      <w:tr>
        <w:tc>
          <w:tcPr>
            <w:tcW w:type="dxa" w:w="3118"/>
          </w:tcPr>
          <w:p>
            <w:r/>
            <w:r>
              <w:rPr>
                <w:b w:val="0"/>
                <w:i w:val="0"/>
                <w:sz w:val="20"/>
              </w:rPr>
              <w:t>Date limite de remise des offres</w:t>
            </w:r>
          </w:p>
        </w:tc>
        <w:tc>
          <w:tcPr>
            <w:tcW w:type="dxa" w:w="6180"/>
          </w:tcPr>
          <w:p>
            <w:r/>
            <w:r>
              <w:rPr>
                <w:b w:val="0"/>
                <w:i w:val="0"/>
                <w:sz w:val="20"/>
                <w:highlight w:val="yellow"/>
              </w:rPr>
              <w:t>[JJ/MM/AAAA à HH h MM]</w:t>
            </w:r>
          </w:p>
        </w:tc>
      </w:tr>
      <w:tr>
        <w:tc>
          <w:tcPr>
            <w:tcW w:type="dxa" w:w="3118"/>
          </w:tcPr>
          <w:p>
            <w:r/>
            <w:r>
              <w:rPr>
                <w:b w:val="0"/>
                <w:i w:val="0"/>
                <w:sz w:val="20"/>
              </w:rPr>
              <w:t>Mode de remise des offres</w:t>
            </w:r>
          </w:p>
        </w:tc>
        <w:tc>
          <w:tcPr>
            <w:tcW w:type="dxa" w:w="6180"/>
          </w:tcPr>
          <w:p>
            <w:r/>
            <w:r>
              <w:rPr>
                <w:b w:val="0"/>
                <w:i w:val="0"/>
                <w:sz w:val="20"/>
                <w:highlight w:val="yellow"/>
              </w:rPr>
              <w:t>[Adresse électronique ou plateforme]</w:t>
            </w:r>
          </w:p>
        </w:tc>
      </w:tr>
      <w:tr>
        <w:tc>
          <w:tcPr>
            <w:tcW w:type="dxa" w:w="3118"/>
          </w:tcPr>
          <w:p>
            <w:r/>
            <w:r>
              <w:rPr>
                <w:b w:val="0"/>
                <w:i w:val="0"/>
                <w:sz w:val="20"/>
              </w:rPr>
              <w:t>Contact</w:t>
            </w:r>
          </w:p>
        </w:tc>
        <w:tc>
          <w:tcPr>
            <w:tcW w:type="dxa" w:w="6180"/>
          </w:tcPr>
          <w:p>
            <w:r/>
            <w:r>
              <w:rPr>
                <w:b w:val="0"/>
                <w:i w:val="0"/>
                <w:sz w:val="20"/>
                <w:highlight w:val="yellow"/>
              </w:rPr>
              <w:t>[Nom, fonction, adresse électronique, téléphone]</w:t>
            </w:r>
          </w:p>
        </w:tc>
      </w:tr>
      <w:tr>
        <w:tc>
          <w:tcPr>
            <w:tcW w:type="dxa" w:w="3118"/>
          </w:tcPr>
          <w:p>
            <w:r/>
            <w:r>
              <w:rPr>
                <w:b w:val="0"/>
                <w:i w:val="0"/>
                <w:sz w:val="20"/>
              </w:rPr>
              <w:t>Version du document</w:t>
            </w:r>
          </w:p>
        </w:tc>
        <w:tc>
          <w:tcPr>
            <w:tcW w:type="dxa" w:w="6180"/>
          </w:tcPr>
          <w:p>
            <w:r/>
            <w:r>
              <w:rPr>
                <w:b w:val="0"/>
                <w:i w:val="0"/>
                <w:sz w:val="20"/>
                <w:highlight w:val="yellow"/>
              </w:rPr>
              <w:t>[Numéro et date]</w:t>
            </w:r>
          </w:p>
        </w:tc>
      </w:tr>
    </w:tbl>
    <w:p>
      <w:pPr>
        <w:spacing w:after="40"/>
      </w:pPr>
    </w:p>
    <w:p>
      <w:pPr>
        <w:pStyle w:val="Heading2"/>
      </w:pPr>
      <w:r>
        <w:t>Mode d'emploi du modèle</w:t>
      </w:r>
    </w:p>
    <w:p>
      <w:pPr>
        <w:spacing w:after="40"/>
        <w:ind w:left="964" w:hanging="283"/>
      </w:pPr>
      <w:r>
        <w:rPr>
          <w:b w:val="0"/>
          <w:i w:val="0"/>
        </w:rPr>
        <w:t>• Les champs surlignés entre crochets sont à compléter ; quand plusieurs options sont proposées entre crochets, conservez celle qui s'applique et supprimez les autres.</w:t>
      </w:r>
    </w:p>
    <w:p>
      <w:pPr>
        <w:spacing w:after="40"/>
        <w:ind w:left="964" w:hanging="283"/>
      </w:pPr>
      <w:r>
        <w:rPr>
          <w:b w:val="0"/>
          <w:i w:val="0"/>
        </w:rPr>
        <w:t>• Les notes en italique expliquent un choix ou citent la règle applicable : supprimez-les avant de diffuser le document.</w:t>
      </w:r>
    </w:p>
    <w:p>
      <w:pPr>
        <w:spacing w:after="40"/>
        <w:ind w:left="964" w:hanging="283"/>
      </w:pPr>
      <w:r>
        <w:rPr>
          <w:b w:val="0"/>
          <w:i w:val="0"/>
        </w:rPr>
        <w:t>• Supprimez les lots, articles ou options sans objet et adaptez les délais à votre organisation.</w:t>
      </w:r>
    </w:p>
    <w:p>
      <w:pPr>
        <w:spacing w:after="40"/>
        <w:ind w:left="964" w:hanging="283"/>
      </w:pPr>
      <w:r>
        <w:rPr>
          <w:b w:val="0"/>
          <w:i w:val="0"/>
        </w:rPr>
        <w:t>• Ce modèle propose des clauses types et ne constitue pas un conseil juridique. Faites relire le document par votre service juridique ou achats, en particulier les articles 9 à 12.</w:t>
      </w:r>
    </w:p>
    <w:p>
      <w:pPr>
        <w:spacing w:after="40"/>
        <w:ind w:left="964" w:hanging="283"/>
      </w:pPr>
      <w:r>
        <w:rPr>
          <w:b w:val="0"/>
          <w:i w:val="0"/>
        </w:rPr>
        <w:t>• Pour une personne publique, la qualification du contrat (marché public de services, cession de biens ou combinaison des deux) et la procédure applicable sont à déterminer en amont. Les références au Code de la commande publique ne valent que pour les marchés publics.</w:t>
      </w:r>
    </w:p>
    <w:p>
      <w:r>
        <w:br w:type="page"/>
      </w:r>
    </w:p>
    <w:p>
      <w:pPr>
        <w:pStyle w:val="Heading1"/>
      </w:pPr>
      <w:r>
        <w:t>Article 1. Objet de la consultation</w:t>
      </w:r>
    </w:p>
    <w:p>
      <w:pPr>
        <w:tabs>
          <w:tab w:pos="624" w:val="left"/>
        </w:tabs>
        <w:ind w:left="624" w:hanging="624"/>
      </w:pPr>
      <w:r>
        <w:rPr>
          <w:b/>
        </w:rPr>
        <w:t>1.1</w:t>
        <w:tab/>
      </w:r>
      <w:r>
        <w:rPr>
          <w:b w:val="0"/>
          <w:i w:val="0"/>
        </w:rPr>
        <w:t xml:space="preserve">Le présent cahier des charges a pour objet la reprise du matériel informatique en fin d'usage de </w:t>
      </w:r>
      <w:r>
        <w:rPr>
          <w:b w:val="0"/>
          <w:i w:val="0"/>
          <w:highlight w:val="yellow"/>
        </w:rPr>
        <w:t>[raison sociale]</w:t>
      </w:r>
      <w:r>
        <w:rPr>
          <w:b w:val="0"/>
          <w:i w:val="0"/>
        </w:rPr>
        <w:t xml:space="preserve"> (ci-après « le Cédant ») : enlèvement sur site, effacement certifié des données, réemploi des équipements qui s'y prêtent et traitement des autres en filière agréée de déchets d'équipements électriques et électroniques (DEEE).</w:t>
      </w:r>
    </w:p>
    <w:p>
      <w:pPr>
        <w:tabs>
          <w:tab w:pos="624" w:val="left"/>
        </w:tabs>
        <w:ind w:left="624" w:hanging="624"/>
      </w:pPr>
      <w:r>
        <w:rPr>
          <w:b/>
        </w:rPr>
        <w:t>1.2</w:t>
        <w:tab/>
      </w:r>
      <w:r>
        <w:rPr>
          <w:b w:val="0"/>
          <w:i w:val="0"/>
        </w:rPr>
        <w:t>Le prestataire retenu est désigné ci-après « le Repreneur ».</w:t>
      </w:r>
    </w:p>
    <w:p>
      <w:pPr>
        <w:tabs>
          <w:tab w:pos="624" w:val="left"/>
        </w:tabs>
        <w:ind w:left="624" w:hanging="624"/>
      </w:pPr>
      <w:r>
        <w:rPr>
          <w:b/>
        </w:rPr>
        <w:t>1.3</w:t>
        <w:tab/>
      </w:r>
      <w:r>
        <w:rPr>
          <w:b w:val="0"/>
          <w:i w:val="0"/>
        </w:rPr>
        <w:t xml:space="preserve">La consultation porte sur </w:t>
      </w:r>
      <w:r>
        <w:rPr>
          <w:b w:val="0"/>
          <w:i w:val="0"/>
          <w:highlight w:val="yellow"/>
        </w:rPr>
        <w:t>[une opération unique / des opérations successives pendant une durée de [nombre] mois à compter de la notification]</w:t>
      </w:r>
      <w:r>
        <w:rPr>
          <w:b w:val="0"/>
          <w:i w:val="0"/>
        </w:rPr>
        <w:t>.</w:t>
      </w:r>
    </w:p>
    <w:p>
      <w:pPr>
        <w:ind w:left="624"/>
      </w:pPr>
      <w:r>
        <w:rPr>
          <w:b/>
          <w:i/>
          <w:color w:val="5F6673"/>
          <w:sz w:val="19"/>
        </w:rPr>
        <w:t xml:space="preserve">Note : </w:t>
      </w:r>
      <w:r>
        <w:rPr>
          <w:b w:val="0"/>
          <w:i/>
          <w:color w:val="5F6673"/>
          <w:sz w:val="19"/>
        </w:rPr>
        <w:t>Pour une personne publique, précisez ici la procédure retenue et la forme du contrat. Les matériels informatiques réformés de l'État et des collectivités peuvent être vendus par le service du domaine et, pour les collectivités territoriales et leurs groupements, directement ou par un prestataire (décret n° 2023-266 du 12 avril 2023, article 2).</w:t>
      </w:r>
    </w:p>
    <w:p>
      <w:pPr>
        <w:pStyle w:val="Heading1"/>
      </w:pPr>
      <w:r>
        <w:t>Article 2. Contexte et objectifs</w:t>
      </w:r>
    </w:p>
    <w:p>
      <w:pPr>
        <w:tabs>
          <w:tab w:pos="624" w:val="left"/>
        </w:tabs>
        <w:ind w:left="624" w:hanging="624"/>
      </w:pPr>
      <w:r>
        <w:rPr>
          <w:b/>
        </w:rPr>
        <w:t>2.1</w:t>
        <w:tab/>
      </w:r>
      <w:r>
        <w:rPr>
          <w:b w:val="0"/>
          <w:i w:val="0"/>
        </w:rPr>
        <w:t xml:space="preserve">Présentation du Cédant : </w:t>
      </w:r>
      <w:r>
        <w:rPr>
          <w:b w:val="0"/>
          <w:i w:val="0"/>
          <w:highlight w:val="yellow"/>
        </w:rPr>
        <w:t>[activité, nombre de sites concernés, taille du parc]</w:t>
      </w:r>
      <w:r>
        <w:rPr>
          <w:b w:val="0"/>
          <w:i w:val="0"/>
        </w:rPr>
        <w:t>.</w:t>
      </w:r>
    </w:p>
    <w:p>
      <w:pPr>
        <w:tabs>
          <w:tab w:pos="624" w:val="left"/>
        </w:tabs>
        <w:ind w:left="624" w:hanging="624"/>
      </w:pPr>
      <w:r>
        <w:rPr>
          <w:b/>
        </w:rPr>
        <w:t>2.2</w:t>
        <w:tab/>
      </w:r>
      <w:r>
        <w:rPr>
          <w:b w:val="0"/>
          <w:i w:val="0"/>
        </w:rPr>
        <w:t xml:space="preserve">Le volume estimatif est de </w:t>
      </w:r>
      <w:r>
        <w:rPr>
          <w:b w:val="0"/>
          <w:i w:val="0"/>
          <w:highlight w:val="yellow"/>
        </w:rPr>
        <w:t>[nombre]</w:t>
      </w:r>
      <w:r>
        <w:rPr>
          <w:b w:val="0"/>
          <w:i w:val="0"/>
        </w:rPr>
        <w:t xml:space="preserve"> équipements, répartis en lots (article 3) et détaillés dans l'inventaire de l'annexe 1. Ce volume est indicatif.</w:t>
      </w:r>
    </w:p>
    <w:p>
      <w:pPr>
        <w:tabs>
          <w:tab w:pos="624" w:val="left"/>
        </w:tabs>
        <w:ind w:left="624" w:hanging="624"/>
      </w:pPr>
      <w:r>
        <w:rPr>
          <w:b/>
        </w:rPr>
        <w:t>2.3</w:t>
        <w:tab/>
      </w:r>
      <w:r>
        <w:rPr>
          <w:b w:val="0"/>
          <w:i w:val="0"/>
        </w:rPr>
        <w:t>Les objectifs du Cédant sont, par ordre de priorité :</w:t>
      </w:r>
    </w:p>
    <w:p>
      <w:pPr>
        <w:spacing w:after="40"/>
        <w:ind w:left="964" w:hanging="283"/>
      </w:pPr>
      <w:r>
        <w:rPr>
          <w:b w:val="0"/>
          <w:i w:val="0"/>
        </w:rPr>
        <w:t>a) garantir l'effacement des données de chaque support de stockage et en disposer de la preuve ;</w:t>
      </w:r>
    </w:p>
    <w:p>
      <w:pPr>
        <w:spacing w:after="40"/>
        <w:ind w:left="964" w:hanging="283"/>
      </w:pPr>
      <w:r>
        <w:rPr>
          <w:b w:val="0"/>
          <w:i w:val="0"/>
        </w:rPr>
        <w:t>b) privilégier le réemploi, conformément à la hiérarchie des modes de traitement des déchets (Code de l'environnement, article L541-1) ;</w:t>
      </w:r>
    </w:p>
    <w:p>
      <w:pPr>
        <w:spacing w:after="40"/>
        <w:ind w:left="964" w:hanging="283"/>
      </w:pPr>
      <w:r>
        <w:rPr>
          <w:b w:val="0"/>
          <w:i w:val="0"/>
        </w:rPr>
        <w:t>c) assurer une traçabilité unitaire du matériel, de l'enlèvement à sa destination finale ;</w:t>
      </w:r>
    </w:p>
    <w:p>
      <w:pPr>
        <w:spacing w:after="40"/>
        <w:ind w:left="964" w:hanging="283"/>
      </w:pPr>
      <w:r>
        <w:rPr>
          <w:b w:val="0"/>
          <w:i w:val="0"/>
        </w:rPr>
        <w:t>d) valoriser le matériel cédé.</w:t>
      </w:r>
    </w:p>
    <w:p>
      <w:pPr>
        <w:tabs>
          <w:tab w:pos="624" w:val="left"/>
        </w:tabs>
        <w:ind w:left="624" w:hanging="624"/>
      </w:pPr>
      <w:r>
        <w:rPr>
          <w:b/>
        </w:rPr>
        <w:t>2.4</w:t>
        <w:tab/>
      </w:r>
      <w:r>
        <w:rPr>
          <w:b w:val="0"/>
          <w:i w:val="0"/>
          <w:highlight w:val="yellow"/>
        </w:rPr>
        <w:t>[Option pour les personnes publiques soumises à l'article 16 de la loi n° 2021-1485 du 15 novembre 2021 : la consultation contribue à l'objectif d'orientation vers le réemploi ou la réutilisation de 50 % des matériels informatiques réformés, fixé par le décret n° 2023-266 du 12 avril 2023.]</w:t>
      </w:r>
    </w:p>
    <w:p>
      <w:pPr>
        <w:pStyle w:val="Heading1"/>
      </w:pPr>
      <w:r>
        <w:t>Article 3. Allotissement</w:t>
      </w:r>
    </w:p>
    <w:p>
      <w:pPr>
        <w:tabs>
          <w:tab w:pos="624" w:val="left"/>
        </w:tabs>
        <w:ind w:left="624" w:hanging="624"/>
      </w:pPr>
      <w:r>
        <w:rPr>
          <w:b/>
        </w:rPr>
        <w:t>3.1</w:t>
        <w:tab/>
      </w:r>
      <w:r>
        <w:rPr>
          <w:b w:val="0"/>
          <w:i w:val="0"/>
        </w:rPr>
        <w:t>La consultation est divisée en lots :</w:t>
      </w:r>
    </w:p>
    <w:tbl>
      <w:tblPr>
        <w:tblStyle w:val="TableGrid"/>
        <w:tblW w:type="auto" w:w="0"/>
        <w:jc w:val="center"/>
        <w:tblLook w:firstColumn="1" w:firstRow="1" w:lastColumn="0" w:lastRow="0" w:noHBand="0" w:noVBand="1" w:val="04A0"/>
      </w:tblPr>
      <w:tblGrid>
        <w:gridCol w:w="2408"/>
        <w:gridCol w:w="2408"/>
        <w:gridCol w:w="2408"/>
        <w:gridCol w:w="2408"/>
      </w:tblGrid>
      <w:tr>
        <w:trPr>
          <w:tblHeader w:val="true"/>
        </w:trPr>
        <w:tc>
          <w:tcPr>
            <w:tcW w:type="dxa" w:w="680"/>
            <w:shd w:val="clear" w:color="auto" w:fill="E7EAF0"/>
          </w:tcPr>
          <w:p>
            <w:r/>
            <w:r>
              <w:rPr>
                <w:b/>
                <w:i w:val="0"/>
                <w:sz w:val="19"/>
              </w:rPr>
              <w:t>Lot</w:t>
            </w:r>
          </w:p>
        </w:tc>
        <w:tc>
          <w:tcPr>
            <w:tcW w:type="dxa" w:w="4876"/>
            <w:shd w:val="clear" w:color="auto" w:fill="E7EAF0"/>
          </w:tcPr>
          <w:p>
            <w:r/>
            <w:r>
              <w:rPr>
                <w:b/>
                <w:i w:val="0"/>
                <w:sz w:val="19"/>
              </w:rPr>
              <w:t>Contenu</w:t>
            </w:r>
          </w:p>
        </w:tc>
        <w:tc>
          <w:tcPr>
            <w:tcW w:type="dxa" w:w="1701"/>
            <w:shd w:val="clear" w:color="auto" w:fill="E7EAF0"/>
          </w:tcPr>
          <w:p>
            <w:r/>
            <w:r>
              <w:rPr>
                <w:b/>
                <w:i w:val="0"/>
                <w:sz w:val="19"/>
              </w:rPr>
              <w:t>Quantité estimée</w:t>
            </w:r>
          </w:p>
        </w:tc>
        <w:tc>
          <w:tcPr>
            <w:tcW w:type="dxa" w:w="2041"/>
            <w:shd w:val="clear" w:color="auto" w:fill="E7EAF0"/>
          </w:tcPr>
          <w:p>
            <w:r/>
            <w:r>
              <w:rPr>
                <w:b/>
                <w:i w:val="0"/>
                <w:sz w:val="19"/>
              </w:rPr>
              <w:t>Sites d'enlèvement</w:t>
            </w:r>
          </w:p>
        </w:tc>
      </w:tr>
      <w:tr>
        <w:tc>
          <w:tcPr>
            <w:tcW w:type="dxa" w:w="680"/>
          </w:tcPr>
          <w:p>
            <w:r/>
            <w:r>
              <w:rPr>
                <w:b w:val="0"/>
                <w:i w:val="0"/>
                <w:sz w:val="19"/>
              </w:rPr>
              <w:t>1</w:t>
            </w:r>
          </w:p>
        </w:tc>
        <w:tc>
          <w:tcPr>
            <w:tcW w:type="dxa" w:w="4876"/>
          </w:tcPr>
          <w:p>
            <w:r/>
            <w:r>
              <w:rPr>
                <w:b w:val="0"/>
                <w:i w:val="0"/>
                <w:sz w:val="19"/>
              </w:rPr>
              <w:t>Postes de travail fonctionnels ou réparables : ordinateurs portables, postes fixes, ordinateurs tout-en-un</w:t>
            </w:r>
          </w:p>
        </w:tc>
        <w:tc>
          <w:tcPr>
            <w:tcW w:type="dxa" w:w="1701"/>
          </w:tcPr>
          <w:p>
            <w:r/>
            <w:r>
              <w:rPr>
                <w:b w:val="0"/>
                <w:i w:val="0"/>
                <w:sz w:val="19"/>
                <w:highlight w:val="yellow"/>
              </w:rPr>
              <w:t>[nombre]</w:t>
            </w:r>
          </w:p>
        </w:tc>
        <w:tc>
          <w:tcPr>
            <w:tcW w:type="dxa" w:w="2041"/>
          </w:tcPr>
          <w:p>
            <w:r/>
            <w:r>
              <w:rPr>
                <w:b w:val="0"/>
                <w:i w:val="0"/>
                <w:sz w:val="19"/>
                <w:highlight w:val="yellow"/>
              </w:rPr>
              <w:t>[sites]</w:t>
            </w:r>
          </w:p>
        </w:tc>
      </w:tr>
      <w:tr>
        <w:tc>
          <w:tcPr>
            <w:tcW w:type="dxa" w:w="680"/>
          </w:tcPr>
          <w:p>
            <w:r/>
            <w:r>
              <w:rPr>
                <w:b w:val="0"/>
                <w:i w:val="0"/>
                <w:sz w:val="19"/>
              </w:rPr>
              <w:t>2</w:t>
            </w:r>
          </w:p>
        </w:tc>
        <w:tc>
          <w:tcPr>
            <w:tcW w:type="dxa" w:w="4876"/>
          </w:tcPr>
          <w:p>
            <w:r/>
            <w:r>
              <w:rPr>
                <w:b w:val="0"/>
                <w:i w:val="0"/>
                <w:sz w:val="19"/>
              </w:rPr>
              <w:t>Écrans</w:t>
            </w:r>
          </w:p>
        </w:tc>
        <w:tc>
          <w:tcPr>
            <w:tcW w:type="dxa" w:w="1701"/>
          </w:tcPr>
          <w:p>
            <w:r/>
            <w:r>
              <w:rPr>
                <w:b w:val="0"/>
                <w:i w:val="0"/>
                <w:sz w:val="19"/>
                <w:highlight w:val="yellow"/>
              </w:rPr>
              <w:t>[nombre]</w:t>
            </w:r>
          </w:p>
        </w:tc>
        <w:tc>
          <w:tcPr>
            <w:tcW w:type="dxa" w:w="2041"/>
          </w:tcPr>
          <w:p>
            <w:r/>
            <w:r>
              <w:rPr>
                <w:b w:val="0"/>
                <w:i w:val="0"/>
                <w:sz w:val="19"/>
                <w:highlight w:val="yellow"/>
              </w:rPr>
              <w:t>[sites]</w:t>
            </w:r>
          </w:p>
        </w:tc>
      </w:tr>
      <w:tr>
        <w:tc>
          <w:tcPr>
            <w:tcW w:type="dxa" w:w="680"/>
          </w:tcPr>
          <w:p>
            <w:r/>
            <w:r>
              <w:rPr>
                <w:b w:val="0"/>
                <w:i w:val="0"/>
                <w:sz w:val="19"/>
              </w:rPr>
              <w:t>3</w:t>
            </w:r>
          </w:p>
        </w:tc>
        <w:tc>
          <w:tcPr>
            <w:tcW w:type="dxa" w:w="4876"/>
          </w:tcPr>
          <w:p>
            <w:r/>
            <w:r>
              <w:rPr>
                <w:b w:val="0"/>
                <w:i w:val="0"/>
                <w:sz w:val="19"/>
              </w:rPr>
              <w:t>Matériel hors d'usage, incomplet et accessoires, à orienter vers la filière DEEE après effacement ou destruction des supports</w:t>
            </w:r>
          </w:p>
        </w:tc>
        <w:tc>
          <w:tcPr>
            <w:tcW w:type="dxa" w:w="1701"/>
          </w:tcPr>
          <w:p>
            <w:r/>
            <w:r>
              <w:rPr>
                <w:b w:val="0"/>
                <w:i w:val="0"/>
                <w:sz w:val="19"/>
                <w:highlight w:val="yellow"/>
              </w:rPr>
              <w:t>[nombre ou poids estimé]</w:t>
            </w:r>
          </w:p>
        </w:tc>
        <w:tc>
          <w:tcPr>
            <w:tcW w:type="dxa" w:w="2041"/>
          </w:tcPr>
          <w:p>
            <w:r/>
            <w:r>
              <w:rPr>
                <w:b w:val="0"/>
                <w:i w:val="0"/>
                <w:sz w:val="19"/>
                <w:highlight w:val="yellow"/>
              </w:rPr>
              <w:t>[sites]</w:t>
            </w:r>
          </w:p>
        </w:tc>
      </w:tr>
      <w:tr>
        <w:tc>
          <w:tcPr>
            <w:tcW w:type="dxa" w:w="680"/>
          </w:tcPr>
          <w:p>
            <w:r/>
            <w:r>
              <w:rPr>
                <w:b w:val="0"/>
                <w:i w:val="0"/>
                <w:sz w:val="19"/>
                <w:highlight w:val="yellow"/>
              </w:rPr>
              <w:t>[4]</w:t>
            </w:r>
          </w:p>
        </w:tc>
        <w:tc>
          <w:tcPr>
            <w:tcW w:type="dxa" w:w="4876"/>
          </w:tcPr>
          <w:p>
            <w:r/>
            <w:r>
              <w:rPr>
                <w:b w:val="0"/>
                <w:i w:val="0"/>
                <w:sz w:val="19"/>
                <w:highlight w:val="yellow"/>
              </w:rPr>
              <w:t>[Autres matériels à préciser]</w:t>
            </w:r>
          </w:p>
        </w:tc>
        <w:tc>
          <w:tcPr>
            <w:tcW w:type="dxa" w:w="1701"/>
          </w:tcPr>
          <w:p>
            <w:r/>
            <w:r>
              <w:rPr>
                <w:b w:val="0"/>
                <w:i w:val="0"/>
                <w:sz w:val="19"/>
                <w:highlight w:val="yellow"/>
              </w:rPr>
              <w:t>[nombre]</w:t>
            </w:r>
          </w:p>
        </w:tc>
        <w:tc>
          <w:tcPr>
            <w:tcW w:type="dxa" w:w="2041"/>
          </w:tcPr>
          <w:p>
            <w:r/>
            <w:r>
              <w:rPr>
                <w:b w:val="0"/>
                <w:i w:val="0"/>
                <w:sz w:val="19"/>
                <w:highlight w:val="yellow"/>
              </w:rPr>
              <w:t>[sites]</w:t>
            </w:r>
          </w:p>
        </w:tc>
      </w:tr>
    </w:tbl>
    <w:p>
      <w:pPr>
        <w:spacing w:after="40"/>
      </w:pPr>
    </w:p>
    <w:p>
      <w:pPr>
        <w:tabs>
          <w:tab w:pos="624" w:val="left"/>
        </w:tabs>
        <w:ind w:left="624" w:hanging="624"/>
      </w:pPr>
      <w:r>
        <w:rPr>
          <w:b/>
        </w:rPr>
        <w:t>3.2</w:t>
        <w:tab/>
      </w:r>
      <w:r>
        <w:rPr>
          <w:b w:val="0"/>
          <w:i w:val="0"/>
        </w:rPr>
        <w:t xml:space="preserve">Un candidat peut répondre à un ou plusieurs lots. </w:t>
      </w:r>
      <w:r>
        <w:rPr>
          <w:b w:val="0"/>
          <w:i w:val="0"/>
          <w:highlight w:val="yellow"/>
        </w:rPr>
        <w:t>[Option : un même candidat ne peut se voir attribuer plus de [nombre] lots.]</w:t>
      </w:r>
    </w:p>
    <w:p>
      <w:pPr>
        <w:ind w:left="624"/>
      </w:pPr>
      <w:r>
        <w:rPr>
          <w:b/>
          <w:i/>
          <w:color w:val="5F6673"/>
          <w:sz w:val="19"/>
        </w:rPr>
        <w:t xml:space="preserve">Note : </w:t>
      </w:r>
      <w:r>
        <w:rPr>
          <w:b w:val="0"/>
          <w:i/>
          <w:color w:val="5F6673"/>
          <w:sz w:val="19"/>
        </w:rPr>
        <w:t>Supprimez les lots sans objet. En marché public, les marchés sont passés en lots séparés, sauf si leur objet ne permet pas l'identification de prestations distinctes (Code de la commande publique, article L2113-10).</w:t>
      </w:r>
    </w:p>
    <w:p>
      <w:pPr>
        <w:pStyle w:val="Heading1"/>
      </w:pPr>
      <w:r>
        <w:t>Article 4. Description du matériel et inventaire</w:t>
      </w:r>
    </w:p>
    <w:p>
      <w:pPr>
        <w:tabs>
          <w:tab w:pos="624" w:val="left"/>
        </w:tabs>
        <w:ind w:left="624" w:hanging="624"/>
      </w:pPr>
      <w:r>
        <w:rPr>
          <w:b/>
        </w:rPr>
        <w:t>4.1</w:t>
        <w:tab/>
      </w:r>
      <w:r>
        <w:rPr>
          <w:b w:val="0"/>
          <w:i w:val="0"/>
        </w:rPr>
        <w:t>L'annexe 1 décrit le matériel à raison d'une ligne par équipement. Les candidats établissent leur offre sur cette base.</w:t>
      </w:r>
    </w:p>
    <w:p>
      <w:pPr>
        <w:tabs>
          <w:tab w:pos="624" w:val="left"/>
        </w:tabs>
        <w:ind w:left="624" w:hanging="624"/>
      </w:pPr>
      <w:r>
        <w:rPr>
          <w:b/>
        </w:rPr>
        <w:t>4.2</w:t>
        <w:tab/>
      </w:r>
      <w:r>
        <w:rPr>
          <w:b w:val="0"/>
          <w:i w:val="0"/>
        </w:rPr>
        <w:t xml:space="preserve">L'état indiqué dans l'annexe 1 est déclaratif. </w:t>
      </w:r>
      <w:r>
        <w:rPr>
          <w:b w:val="0"/>
          <w:i w:val="0"/>
          <w:highlight w:val="yellow"/>
        </w:rPr>
        <w:t>[Option : une visite des sites est possible du [date] au [date], sur rendez-vous auprès de [contact].]</w:t>
      </w:r>
    </w:p>
    <w:p>
      <w:pPr>
        <w:tabs>
          <w:tab w:pos="624" w:val="left"/>
        </w:tabs>
        <w:ind w:left="624" w:hanging="624"/>
      </w:pPr>
      <w:r>
        <w:rPr>
          <w:b/>
        </w:rPr>
        <w:t>4.3</w:t>
        <w:tab/>
      </w:r>
      <w:r>
        <w:rPr>
          <w:b w:val="0"/>
          <w:i w:val="0"/>
        </w:rPr>
        <w:t xml:space="preserve">Le Cédant signale dans l'annexe 1 les verrous connus : mot de passe du BIOS, inscription dans un outil de gestion des appareils (MDM) ou d'enrôlement automatique, verrouillage d'activation. Il s'engage à </w:t>
      </w:r>
      <w:r>
        <w:rPr>
          <w:b w:val="0"/>
          <w:i w:val="0"/>
          <w:highlight w:val="yellow"/>
        </w:rPr>
        <w:t>[lever ces verrous et retirer les appareils de ses outils de gestion avant l'enlèvement / communiquer au Repreneur la liste des appareils qui restent verrouillés]</w:t>
      </w:r>
      <w:r>
        <w:rPr>
          <w:b w:val="0"/>
          <w:i w:val="0"/>
        </w:rPr>
        <w:t>.</w:t>
      </w:r>
    </w:p>
    <w:p>
      <w:pPr>
        <w:tabs>
          <w:tab w:pos="624" w:val="left"/>
        </w:tabs>
        <w:ind w:left="624" w:hanging="624"/>
      </w:pPr>
      <w:r>
        <w:rPr>
          <w:b/>
        </w:rPr>
        <w:t>4.4</w:t>
        <w:tab/>
      </w:r>
      <w:r>
        <w:rPr>
          <w:b w:val="0"/>
          <w:i w:val="0"/>
        </w:rPr>
        <w:t xml:space="preserve">Le matériel cédé appartient au Cédant et n'est soumis à aucun contrat de location. </w:t>
      </w:r>
      <w:r>
        <w:rPr>
          <w:b w:val="0"/>
          <w:i w:val="0"/>
          <w:highlight w:val="yellow"/>
        </w:rPr>
        <w:t>[Les équipements loués sont exclus de la consultation.]</w:t>
      </w:r>
    </w:p>
    <w:p>
      <w:pPr>
        <w:pStyle w:val="Heading1"/>
      </w:pPr>
      <w:r>
        <w:t>Article 5. Enlèvement, transport et chaîne de contrôle</w:t>
      </w:r>
    </w:p>
    <w:p>
      <w:pPr>
        <w:tabs>
          <w:tab w:pos="624" w:val="left"/>
        </w:tabs>
        <w:ind w:left="624" w:hanging="624"/>
      </w:pPr>
      <w:r>
        <w:rPr>
          <w:b/>
        </w:rPr>
        <w:t>5.1</w:t>
        <w:tab/>
      </w:r>
      <w:r>
        <w:rPr>
          <w:b w:val="0"/>
          <w:i w:val="0"/>
        </w:rPr>
        <w:t xml:space="preserve">L'enlèvement a lieu </w:t>
      </w:r>
      <w:r>
        <w:rPr>
          <w:b w:val="0"/>
          <w:i w:val="0"/>
          <w:highlight w:val="yellow"/>
        </w:rPr>
        <w:t>[le [date] / entre le [date] et le [date]]</w:t>
      </w:r>
      <w:r>
        <w:rPr>
          <w:b w:val="0"/>
          <w:i w:val="0"/>
        </w:rPr>
        <w:t xml:space="preserve">, de </w:t>
      </w:r>
      <w:r>
        <w:rPr>
          <w:b w:val="0"/>
          <w:i w:val="0"/>
          <w:highlight w:val="yellow"/>
        </w:rPr>
        <w:t>[heure]</w:t>
      </w:r>
      <w:r>
        <w:rPr>
          <w:b w:val="0"/>
          <w:i w:val="0"/>
        </w:rPr>
        <w:t xml:space="preserve"> à </w:t>
      </w:r>
      <w:r>
        <w:rPr>
          <w:b w:val="0"/>
          <w:i w:val="0"/>
          <w:highlight w:val="yellow"/>
        </w:rPr>
        <w:t>[heure]</w:t>
      </w:r>
      <w:r>
        <w:rPr>
          <w:b w:val="0"/>
          <w:i w:val="0"/>
        </w:rPr>
        <w:t xml:space="preserve">. Conditions d'accès : </w:t>
      </w:r>
      <w:r>
        <w:rPr>
          <w:b w:val="0"/>
          <w:i w:val="0"/>
          <w:highlight w:val="yellow"/>
        </w:rPr>
        <w:t>[quai, étage, ascenseur, badge, stationnement]</w:t>
      </w:r>
      <w:r>
        <w:rPr>
          <w:b w:val="0"/>
          <w:i w:val="0"/>
        </w:rPr>
        <w:t>.</w:t>
      </w:r>
    </w:p>
    <w:p>
      <w:pPr>
        <w:tabs>
          <w:tab w:pos="624" w:val="left"/>
        </w:tabs>
        <w:ind w:left="624" w:hanging="624"/>
      </w:pPr>
      <w:r>
        <w:rPr>
          <w:b/>
        </w:rPr>
        <w:t>5.2</w:t>
        <w:tab/>
      </w:r>
      <w:r>
        <w:rPr>
          <w:b w:val="0"/>
          <w:i w:val="0"/>
        </w:rPr>
        <w:t xml:space="preserve">Le conditionnement (palettes, contenants, protections) est fourni par </w:t>
      </w:r>
      <w:r>
        <w:rPr>
          <w:b w:val="0"/>
          <w:i w:val="0"/>
          <w:highlight w:val="yellow"/>
        </w:rPr>
        <w:t>[le Repreneur / le Cédant]</w:t>
      </w:r>
      <w:r>
        <w:rPr>
          <w:b w:val="0"/>
          <w:i w:val="0"/>
        </w:rPr>
        <w:t xml:space="preserve">. Les contenants sont fermés </w:t>
      </w:r>
      <w:r>
        <w:rPr>
          <w:b w:val="0"/>
          <w:i w:val="0"/>
          <w:highlight w:val="yellow"/>
        </w:rPr>
        <w:t>[et scellés]</w:t>
      </w:r>
      <w:r>
        <w:rPr>
          <w:b w:val="0"/>
          <w:i w:val="0"/>
        </w:rPr>
        <w:t xml:space="preserve"> avant leur départ.</w:t>
      </w:r>
    </w:p>
    <w:p>
      <w:pPr>
        <w:tabs>
          <w:tab w:pos="624" w:val="left"/>
        </w:tabs>
        <w:ind w:left="624" w:hanging="624"/>
      </w:pPr>
      <w:r>
        <w:rPr>
          <w:b/>
        </w:rPr>
        <w:t>5.3</w:t>
        <w:tab/>
      </w:r>
      <w:r>
        <w:rPr>
          <w:b w:val="0"/>
          <w:i w:val="0"/>
        </w:rPr>
        <w:t xml:space="preserve">Un comptage contradictoire a lieu au départ. Le bon d'enlèvement, signé par les deux parties, indique la date, le site, le nom des signataires, le nombre de contenants et le nombre d'équipements par type </w:t>
      </w:r>
      <w:r>
        <w:rPr>
          <w:b w:val="0"/>
          <w:i w:val="0"/>
          <w:highlight w:val="yellow"/>
        </w:rPr>
        <w:t>[ainsi que la liste des numéros de série relevés]</w:t>
      </w:r>
      <w:r>
        <w:rPr>
          <w:b w:val="0"/>
          <w:i w:val="0"/>
        </w:rPr>
        <w:t>.</w:t>
      </w:r>
    </w:p>
    <w:p>
      <w:pPr>
        <w:tabs>
          <w:tab w:pos="624" w:val="left"/>
        </w:tabs>
        <w:ind w:left="624" w:hanging="624"/>
      </w:pPr>
      <w:r>
        <w:rPr>
          <w:b/>
        </w:rPr>
        <w:t>5.4</w:t>
        <w:tab/>
      </w:r>
      <w:r>
        <w:rPr>
          <w:b w:val="0"/>
          <w:i w:val="0"/>
        </w:rPr>
        <w:t>Le matériel est transporté directement vers le site d'effacement indiqué dans l'offre. Toute étape intermédiaire (entreposage, transfert entre véhicules) est déclarée dans l'offre avec son adresse.</w:t>
      </w:r>
    </w:p>
    <w:p>
      <w:pPr>
        <w:tabs>
          <w:tab w:pos="624" w:val="left"/>
        </w:tabs>
        <w:ind w:left="624" w:hanging="624"/>
      </w:pPr>
      <w:r>
        <w:rPr>
          <w:b/>
        </w:rPr>
        <w:t>5.5</w:t>
        <w:tab/>
      </w:r>
      <w:r>
        <w:rPr>
          <w:b w:val="0"/>
          <w:i w:val="0"/>
        </w:rPr>
        <w:t xml:space="preserve">Le Repreneur établit un inventaire de réception, numéro de série par numéro de série, et le transmet au Cédant dans un délai de </w:t>
      </w:r>
      <w:r>
        <w:rPr>
          <w:b w:val="0"/>
          <w:i w:val="0"/>
          <w:highlight w:val="yellow"/>
        </w:rPr>
        <w:t>[nombre]</w:t>
      </w:r>
      <w:r>
        <w:rPr>
          <w:b w:val="0"/>
          <w:i w:val="0"/>
        </w:rPr>
        <w:t xml:space="preserve"> jours ouvrés après l'enlèvement.</w:t>
      </w:r>
    </w:p>
    <w:p>
      <w:pPr>
        <w:pStyle w:val="Heading1"/>
      </w:pPr>
      <w:r>
        <w:t>Article 6. Effacement des données</w:t>
      </w:r>
    </w:p>
    <w:p>
      <w:pPr>
        <w:tabs>
          <w:tab w:pos="624" w:val="left"/>
        </w:tabs>
        <w:ind w:left="624" w:hanging="624"/>
      </w:pPr>
      <w:r>
        <w:rPr>
          <w:b/>
        </w:rPr>
        <w:t>6.1</w:t>
        <w:tab/>
      </w:r>
      <w:r>
        <w:rPr>
          <w:b w:val="0"/>
          <w:i w:val="0"/>
        </w:rPr>
        <w:t xml:space="preserve">Tout support de stockage de données (disque dur, SSD, mémoire intégrée) est effacé selon la norme NIST SP 800-88 dans sa révision en vigueur, au niveau </w:t>
      </w:r>
      <w:r>
        <w:rPr>
          <w:b w:val="0"/>
          <w:i w:val="0"/>
          <w:highlight w:val="yellow"/>
        </w:rPr>
        <w:t>[Purge / Clear ou Purge selon le type de support, tel que précisé dans l'offre]</w:t>
      </w:r>
      <w:r>
        <w:rPr>
          <w:b w:val="0"/>
          <w:i w:val="0"/>
        </w:rPr>
        <w:t>, avec une technique adaptée à chaque type de support et une vérification du résultat.</w:t>
      </w:r>
    </w:p>
    <w:p>
      <w:pPr>
        <w:tabs>
          <w:tab w:pos="624" w:val="left"/>
        </w:tabs>
        <w:ind w:left="624" w:hanging="624"/>
      </w:pPr>
      <w:r>
        <w:rPr>
          <w:b/>
        </w:rPr>
        <w:t>6.2</w:t>
        <w:tab/>
      </w:r>
      <w:r>
        <w:rPr>
          <w:b w:val="0"/>
          <w:i w:val="0"/>
        </w:rPr>
        <w:t xml:space="preserve">L'effacement est réalisé </w:t>
      </w:r>
      <w:r>
        <w:rPr>
          <w:b w:val="0"/>
          <w:i w:val="0"/>
          <w:highlight w:val="yellow"/>
        </w:rPr>
        <w:t>[dans les locaux du Repreneur, à l'adresse indiquée dans l'offre / sur le site du Cédant]</w:t>
      </w:r>
      <w:r>
        <w:rPr>
          <w:b w:val="0"/>
          <w:i w:val="0"/>
        </w:rPr>
        <w:t xml:space="preserve">. Le délai maximal entre l'enlèvement et l'effacement est de </w:t>
      </w:r>
      <w:r>
        <w:rPr>
          <w:b w:val="0"/>
          <w:i w:val="0"/>
          <w:highlight w:val="yellow"/>
        </w:rPr>
        <w:t>[nombre]</w:t>
      </w:r>
      <w:r>
        <w:rPr>
          <w:b w:val="0"/>
          <w:i w:val="0"/>
        </w:rPr>
        <w:t xml:space="preserve"> jours ouvrés. Jusqu'à l'effacement, le matériel est entreposé dans une zone à accès restreint.</w:t>
      </w:r>
    </w:p>
    <w:p>
      <w:pPr>
        <w:tabs>
          <w:tab w:pos="624" w:val="left"/>
        </w:tabs>
        <w:ind w:left="624" w:hanging="624"/>
      </w:pPr>
      <w:r>
        <w:rPr>
          <w:b/>
        </w:rPr>
        <w:t>6.3</w:t>
        <w:tab/>
      </w:r>
      <w:r>
        <w:rPr>
          <w:b w:val="0"/>
          <w:i w:val="0"/>
        </w:rPr>
        <w:t xml:space="preserve">Un support qui ne peut pas être effacé de façon vérifiable est détruit physiquement </w:t>
      </w:r>
      <w:r>
        <w:rPr>
          <w:b w:val="0"/>
          <w:i w:val="0"/>
          <w:highlight w:val="yellow"/>
        </w:rPr>
        <w:t>[par le Repreneur / sur le site du Cédant / après remise au Cédant]</w:t>
      </w:r>
      <w:r>
        <w:rPr>
          <w:b w:val="0"/>
          <w:i w:val="0"/>
        </w:rPr>
        <w:t>. La destruction donne lieu à un certificat par support.</w:t>
      </w:r>
    </w:p>
    <w:p>
      <w:pPr>
        <w:tabs>
          <w:tab w:pos="624" w:val="left"/>
        </w:tabs>
        <w:ind w:left="624" w:hanging="624"/>
      </w:pPr>
      <w:r>
        <w:rPr>
          <w:b/>
        </w:rPr>
        <w:t>6.4</w:t>
        <w:tab/>
      </w:r>
      <w:r>
        <w:rPr>
          <w:b w:val="0"/>
          <w:i w:val="0"/>
        </w:rPr>
        <w:t>Chaque support fait l'objet d'un certificat d'effacement ou de destruction qui mentionne au minimum :</w:t>
      </w:r>
    </w:p>
    <w:p>
      <w:pPr>
        <w:spacing w:after="40"/>
        <w:ind w:left="964" w:hanging="283"/>
      </w:pPr>
      <w:r>
        <w:rPr>
          <w:b w:val="0"/>
          <w:i w:val="0"/>
        </w:rPr>
        <w:t>• le fabricant, le modèle et le numéro de série du support et de l'équipement qui le contient ;</w:t>
      </w:r>
    </w:p>
    <w:p>
      <w:pPr>
        <w:spacing w:after="40"/>
        <w:ind w:left="964" w:hanging="283"/>
      </w:pPr>
      <w:r>
        <w:rPr>
          <w:b w:val="0"/>
          <w:i w:val="0"/>
        </w:rPr>
        <w:t>• le numéro d'inventaire ou d'immobilisation du Cédant, s'il existe ;</w:t>
      </w:r>
    </w:p>
    <w:p>
      <w:pPr>
        <w:spacing w:after="40"/>
        <w:ind w:left="964" w:hanging="283"/>
      </w:pPr>
      <w:r>
        <w:rPr>
          <w:b w:val="0"/>
          <w:i w:val="0"/>
        </w:rPr>
        <w:t>• le type de support ;</w:t>
      </w:r>
    </w:p>
    <w:p>
      <w:pPr>
        <w:spacing w:after="40"/>
        <w:ind w:left="964" w:hanging="283"/>
      </w:pPr>
      <w:r>
        <w:rPr>
          <w:b w:val="0"/>
          <w:i w:val="0"/>
        </w:rPr>
        <w:t>• la méthode (Clear, Purge ou Destroy) et la technique employée ;</w:t>
      </w:r>
    </w:p>
    <w:p>
      <w:pPr>
        <w:spacing w:after="40"/>
        <w:ind w:left="964" w:hanging="283"/>
      </w:pPr>
      <w:r>
        <w:rPr>
          <w:b w:val="0"/>
          <w:i w:val="0"/>
        </w:rPr>
        <w:t>• l'outil utilisé et sa version ;</w:t>
      </w:r>
    </w:p>
    <w:p>
      <w:pPr>
        <w:spacing w:after="40"/>
        <w:ind w:left="964" w:hanging="283"/>
      </w:pPr>
      <w:r>
        <w:rPr>
          <w:b w:val="0"/>
          <w:i w:val="0"/>
        </w:rPr>
        <w:t>• la méthode de vérification ;</w:t>
      </w:r>
    </w:p>
    <w:p>
      <w:pPr>
        <w:spacing w:after="40"/>
        <w:ind w:left="964" w:hanging="283"/>
      </w:pPr>
      <w:r>
        <w:rPr>
          <w:b w:val="0"/>
          <w:i w:val="0"/>
        </w:rPr>
        <w:t>• le nom, la fonction et la signature de l'opérateur, la date et le lieu de l'opération.</w:t>
      </w:r>
    </w:p>
    <w:p>
      <w:pPr>
        <w:tabs>
          <w:tab w:pos="624" w:val="left"/>
        </w:tabs>
        <w:ind w:left="624" w:hanging="624"/>
      </w:pPr>
      <w:r>
        <w:rPr>
          <w:b/>
        </w:rPr>
        <w:t>6.5</w:t>
        <w:tab/>
      </w:r>
      <w:r>
        <w:rPr>
          <w:b w:val="0"/>
          <w:i w:val="0"/>
        </w:rPr>
        <w:t xml:space="preserve">Les certificats sont remis </w:t>
      </w:r>
      <w:r>
        <w:rPr>
          <w:b w:val="0"/>
          <w:i w:val="0"/>
          <w:highlight w:val="yellow"/>
        </w:rPr>
        <w:t>[au format PDF signé, accompagnés d'un tableau récapitulatif]</w:t>
      </w:r>
      <w:r>
        <w:rPr>
          <w:b w:val="0"/>
          <w:i w:val="0"/>
        </w:rPr>
        <w:t xml:space="preserve"> dans un délai de </w:t>
      </w:r>
      <w:r>
        <w:rPr>
          <w:b w:val="0"/>
          <w:i w:val="0"/>
          <w:highlight w:val="yellow"/>
        </w:rPr>
        <w:t>[nombre]</w:t>
      </w:r>
      <w:r>
        <w:rPr>
          <w:b w:val="0"/>
          <w:i w:val="0"/>
        </w:rPr>
        <w:t xml:space="preserve"> jours ouvrés après l'enlèvement.</w:t>
      </w:r>
    </w:p>
    <w:p>
      <w:pPr>
        <w:tabs>
          <w:tab w:pos="624" w:val="left"/>
        </w:tabs>
        <w:ind w:left="624" w:hanging="624"/>
      </w:pPr>
      <w:r>
        <w:rPr>
          <w:b/>
        </w:rPr>
        <w:t>6.6</w:t>
        <w:tab/>
      </w:r>
      <w:r>
        <w:rPr>
          <w:b w:val="0"/>
          <w:i w:val="0"/>
        </w:rPr>
        <w:t>Aucune donnée ne peut être consultée, copiée ni extraite des supports, sauf instruction écrite du Cédant.</w:t>
      </w:r>
    </w:p>
    <w:p>
      <w:pPr>
        <w:ind w:left="624"/>
      </w:pPr>
      <w:r>
        <w:rPr>
          <w:b/>
          <w:i/>
          <w:color w:val="5F6673"/>
          <w:sz w:val="19"/>
        </w:rPr>
        <w:t xml:space="preserve">Note : </w:t>
      </w:r>
      <w:r>
        <w:rPr>
          <w:b w:val="0"/>
          <w:i/>
          <w:color w:val="5F6673"/>
          <w:sz w:val="19"/>
        </w:rPr>
        <w:t>Le contenu minimal du certificat reprend la section 4.6 de la norme NIST SP 800-88, révision 2 (septembre 2025), qui recommande un certificat pour chaque support effacé.</w:t>
      </w:r>
    </w:p>
    <w:p>
      <w:pPr>
        <w:pStyle w:val="Heading1"/>
      </w:pPr>
      <w:r>
        <w:t>Article 7. Protection des données personnelles</w:t>
      </w:r>
    </w:p>
    <w:p>
      <w:pPr>
        <w:tabs>
          <w:tab w:pos="624" w:val="left"/>
        </w:tabs>
        <w:ind w:left="624" w:hanging="624"/>
      </w:pPr>
      <w:r>
        <w:rPr>
          <w:b/>
        </w:rPr>
        <w:t>7.1</w:t>
        <w:tab/>
      </w:r>
      <w:r>
        <w:rPr>
          <w:b w:val="0"/>
          <w:i w:val="0"/>
        </w:rPr>
        <w:t>Jusqu'à l'effacement des supports, le Repreneur traite pour le compte du Cédant les données personnelles qu'ils contiennent. Il agit en qualité de sous-traitant au sens de l'article 28 du règlement (UE) 2016/679 (RGPD).</w:t>
      </w:r>
    </w:p>
    <w:p>
      <w:pPr>
        <w:tabs>
          <w:tab w:pos="624" w:val="left"/>
        </w:tabs>
        <w:ind w:left="624" w:hanging="624"/>
      </w:pPr>
      <w:r>
        <w:rPr>
          <w:b/>
        </w:rPr>
        <w:t>7.2</w:t>
        <w:tab/>
      </w:r>
      <w:r>
        <w:rPr>
          <w:b w:val="0"/>
          <w:i w:val="0"/>
        </w:rPr>
        <w:t>Les parties signent l'accord de sous-traitance de l'annexe 3. Il précise l'objet, la durée, la nature et la finalité du traitement, les types de données et les catégories de personnes concernées, ainsi que les obligations du Repreneur : instructions documentées, confidentialité, mesures de sécurité (article 32 du RGPD), recours à un autre sous-traitant soumis à l'autorisation écrite préalable du Cédant, assistance au Cédant, effacement des données en fin de prestation, mise à disposition des informations et audits.</w:t>
      </w:r>
    </w:p>
    <w:p>
      <w:pPr>
        <w:tabs>
          <w:tab w:pos="624" w:val="left"/>
        </w:tabs>
        <w:ind w:left="624" w:hanging="624"/>
      </w:pPr>
      <w:r>
        <w:rPr>
          <w:b/>
        </w:rPr>
        <w:t>7.3</w:t>
        <w:tab/>
      </w:r>
      <w:r>
        <w:rPr>
          <w:b w:val="0"/>
          <w:i w:val="0"/>
        </w:rPr>
        <w:t>Le Repreneur liste à l'annexe 4 tous les sous-traitants et tous les sites qui interviennent sur le matériel. Toute modification est soumise à l'accord écrit préalable du Cédant.</w:t>
      </w:r>
    </w:p>
    <w:p>
      <w:pPr>
        <w:tabs>
          <w:tab w:pos="624" w:val="left"/>
        </w:tabs>
        <w:ind w:left="624" w:hanging="624"/>
      </w:pPr>
      <w:r>
        <w:rPr>
          <w:b/>
        </w:rPr>
        <w:t>7.4</w:t>
        <w:tab/>
      </w:r>
      <w:r>
        <w:rPr>
          <w:b w:val="0"/>
          <w:i w:val="0"/>
        </w:rPr>
        <w:t xml:space="preserve">Le Repreneur notifie au Cédant toute perte, tout vol ou tout accès non autorisé à un support dans les meilleurs délais après en avoir pris connaissance (RGPD, article 33), et au plus tard dans un délai de </w:t>
      </w:r>
      <w:r>
        <w:rPr>
          <w:b w:val="0"/>
          <w:i w:val="0"/>
          <w:highlight w:val="yellow"/>
        </w:rPr>
        <w:t>[nombre]</w:t>
      </w:r>
      <w:r>
        <w:rPr>
          <w:b w:val="0"/>
          <w:i w:val="0"/>
        </w:rPr>
        <w:t xml:space="preserve"> heures.</w:t>
      </w:r>
    </w:p>
    <w:p>
      <w:pPr>
        <w:ind w:left="624"/>
      </w:pPr>
      <w:r>
        <w:rPr>
          <w:b/>
          <w:i/>
          <w:color w:val="5F6673"/>
          <w:sz w:val="19"/>
        </w:rPr>
        <w:t xml:space="preserve">Note : </w:t>
      </w:r>
      <w:r>
        <w:rPr>
          <w:b w:val="0"/>
          <w:i/>
          <w:color w:val="5F6673"/>
          <w:sz w:val="19"/>
        </w:rPr>
        <w:t>La CNIL publie un exemple de clauses de sous-traitance, utilisable pour compléter l'annexe 3.</w:t>
      </w:r>
    </w:p>
    <w:p>
      <w:pPr>
        <w:pStyle w:val="Heading1"/>
      </w:pPr>
      <w:r>
        <w:t>Article 8. Réemploi, traçabilité et filière DEEE</w:t>
      </w:r>
    </w:p>
    <w:p>
      <w:pPr>
        <w:tabs>
          <w:tab w:pos="624" w:val="left"/>
        </w:tabs>
        <w:ind w:left="624" w:hanging="624"/>
      </w:pPr>
      <w:r>
        <w:rPr>
          <w:b/>
        </w:rPr>
        <w:t>8.1</w:t>
        <w:tab/>
      </w:r>
      <w:r>
        <w:rPr>
          <w:b w:val="0"/>
          <w:i w:val="0"/>
        </w:rPr>
        <w:t>Le Repreneur privilégie le réemploi des équipements, puis la réutilisation de leurs pièces, et n'oriente vers le recyclage que le matériel qui ne s'y prête pas.</w:t>
      </w:r>
    </w:p>
    <w:p>
      <w:pPr>
        <w:tabs>
          <w:tab w:pos="624" w:val="left"/>
        </w:tabs>
        <w:ind w:left="624" w:hanging="624"/>
      </w:pPr>
      <w:r>
        <w:rPr>
          <w:b/>
        </w:rPr>
        <w:t>8.2</w:t>
        <w:tab/>
      </w:r>
      <w:r>
        <w:rPr>
          <w:b w:val="0"/>
          <w:i w:val="0"/>
          <w:highlight w:val="yellow"/>
        </w:rPr>
        <w:t>[Option pour les personnes publiques : le Repreneur s'engage, avant l'enlèvement, à effectuer une opération de réemploi ou de préparation en vue de la réutilisation des matériels repris, et à justifier ensuite de sa réalisation effective.]</w:t>
      </w:r>
    </w:p>
    <w:p>
      <w:pPr>
        <w:ind w:left="624"/>
      </w:pPr>
      <w:r>
        <w:rPr>
          <w:b/>
          <w:i/>
          <w:color w:val="5F6673"/>
          <w:sz w:val="19"/>
        </w:rPr>
        <w:t xml:space="preserve">Note : </w:t>
      </w:r>
      <w:r>
        <w:rPr>
          <w:b w:val="0"/>
          <w:i/>
          <w:color w:val="5F6673"/>
          <w:sz w:val="19"/>
        </w:rPr>
        <w:t>Sans cet engagement préalable et sa justification, un matériel vendu ou repris ne compte pas comme réemployé au titre de l'objectif public (décret n° 2023-266, article 2).</w:t>
      </w:r>
    </w:p>
    <w:p>
      <w:pPr>
        <w:tabs>
          <w:tab w:pos="624" w:val="left"/>
        </w:tabs>
        <w:ind w:left="624" w:hanging="624"/>
      </w:pPr>
      <w:r>
        <w:rPr>
          <w:b/>
        </w:rPr>
        <w:t>8.3</w:t>
        <w:tab/>
      </w:r>
      <w:r>
        <w:rPr>
          <w:b w:val="0"/>
          <w:i w:val="0"/>
        </w:rPr>
        <w:t>Les équipements non réemployés sont confiés à un opérateur de traitement des DEEE autorisé à les prendre en charge (Code de l'environnement, article L541-2). Le Repreneur indique dans son offre le nom et l'adresse de cet opérateur et l'éco-organisme agréé auquel il se rattache, et remet au Cédant le bordereau de suivi ou l'attestation de prise en charge.</w:t>
      </w:r>
    </w:p>
    <w:p>
      <w:pPr>
        <w:tabs>
          <w:tab w:pos="624" w:val="left"/>
        </w:tabs>
        <w:ind w:left="624" w:hanging="624"/>
      </w:pPr>
      <w:r>
        <w:rPr>
          <w:b/>
        </w:rPr>
        <w:t>8.4</w:t>
        <w:tab/>
      </w:r>
      <w:r>
        <w:rPr>
          <w:b w:val="0"/>
          <w:i w:val="0"/>
        </w:rPr>
        <w:t>Le Repreneur remet un bilan de traitement qui indique, pour chaque numéro de série, le devenir de l'équipement (réemploi, réutilisation de pièces, recyclage) et la date correspondante.</w:t>
      </w:r>
    </w:p>
    <w:p>
      <w:pPr>
        <w:tabs>
          <w:tab w:pos="624" w:val="left"/>
        </w:tabs>
        <w:ind w:left="624" w:hanging="624"/>
      </w:pPr>
      <w:r>
        <w:rPr>
          <w:b/>
        </w:rPr>
        <w:t>8.5</w:t>
        <w:tab/>
      </w:r>
      <w:r>
        <w:rPr>
          <w:b w:val="0"/>
          <w:i w:val="0"/>
          <w:highlight w:val="yellow"/>
        </w:rPr>
        <w:t>[Option : le Repreneur indique les pays de destination des équipements réemployés.]</w:t>
      </w:r>
    </w:p>
    <w:p>
      <w:pPr>
        <w:pStyle w:val="Heading1"/>
      </w:pPr>
      <w:r>
        <w:t>Article 9. Prix et cotation</w:t>
      </w:r>
    </w:p>
    <w:p>
      <w:pPr>
        <w:tabs>
          <w:tab w:pos="624" w:val="left"/>
        </w:tabs>
        <w:ind w:left="624" w:hanging="624"/>
      </w:pPr>
      <w:r>
        <w:rPr>
          <w:b/>
        </w:rPr>
        <w:t>9.1</w:t>
        <w:tab/>
      </w:r>
      <w:r>
        <w:rPr>
          <w:b w:val="0"/>
          <w:i w:val="0"/>
        </w:rPr>
        <w:t>Le candidat complète le bordereau des prix de l'annexe 2 : prix unitaire hors taxes par catégorie d'équipement et par état, et grille d'ajustement applicable après audit (défauts, composants manquants, verrous non levés).</w:t>
      </w:r>
    </w:p>
    <w:p>
      <w:pPr>
        <w:tabs>
          <w:tab w:pos="624" w:val="left"/>
        </w:tabs>
        <w:ind w:left="624" w:hanging="624"/>
      </w:pPr>
      <w:r>
        <w:rPr>
          <w:b/>
        </w:rPr>
        <w:t>9.2</w:t>
        <w:tab/>
      </w:r>
      <w:r>
        <w:rPr>
          <w:b w:val="0"/>
          <w:i w:val="0"/>
        </w:rPr>
        <w:t xml:space="preserve">Pour le lot 3, le candidat indique </w:t>
      </w:r>
      <w:r>
        <w:rPr>
          <w:b w:val="0"/>
          <w:i w:val="0"/>
          <w:highlight w:val="yellow"/>
        </w:rPr>
        <w:t>[le prix de reprise / le coût de collecte et de traitement]</w:t>
      </w:r>
      <w:r>
        <w:rPr>
          <w:b w:val="0"/>
          <w:i w:val="0"/>
        </w:rPr>
        <w:t>, hors taxes.</w:t>
      </w:r>
    </w:p>
    <w:p>
      <w:pPr>
        <w:tabs>
          <w:tab w:pos="624" w:val="left"/>
        </w:tabs>
        <w:ind w:left="624" w:hanging="624"/>
      </w:pPr>
      <w:r>
        <w:rPr>
          <w:b/>
        </w:rPr>
        <w:t>9.3</w:t>
        <w:tab/>
      </w:r>
      <w:r>
        <w:rPr>
          <w:b w:val="0"/>
          <w:i w:val="0"/>
        </w:rPr>
        <w:t xml:space="preserve">Les prix comprennent l'enlèvement, le transport, l'effacement, les certificats et le bilan de traitement, sauf mention contraire dans l'offre. </w:t>
      </w:r>
      <w:r>
        <w:rPr>
          <w:b w:val="0"/>
          <w:i w:val="0"/>
          <w:highlight w:val="yellow"/>
        </w:rPr>
        <w:t>[Option : ces prestations sont chiffrées séparément dans l'annexe 2.]</w:t>
      </w:r>
    </w:p>
    <w:p>
      <w:pPr>
        <w:tabs>
          <w:tab w:pos="624" w:val="left"/>
        </w:tabs>
        <w:ind w:left="624" w:hanging="624"/>
      </w:pPr>
      <w:r>
        <w:rPr>
          <w:b/>
        </w:rPr>
        <w:t>9.4</w:t>
        <w:tab/>
      </w:r>
      <w:r>
        <w:rPr>
          <w:b w:val="0"/>
          <w:i w:val="0"/>
        </w:rPr>
        <w:t xml:space="preserve">L'offre est valable </w:t>
      </w:r>
      <w:r>
        <w:rPr>
          <w:b w:val="0"/>
          <w:i w:val="0"/>
          <w:highlight w:val="yellow"/>
        </w:rPr>
        <w:t>[nombre]</w:t>
      </w:r>
      <w:r>
        <w:rPr>
          <w:b w:val="0"/>
          <w:i w:val="0"/>
        </w:rPr>
        <w:t xml:space="preserve"> jours à compter de la date limite de remise des offres.</w:t>
      </w:r>
    </w:p>
    <w:p>
      <w:pPr>
        <w:pStyle w:val="Heading1"/>
      </w:pPr>
      <w:r>
        <w:t>Article 10. Écarts d'inventaire et cotation finale</w:t>
      </w:r>
    </w:p>
    <w:p>
      <w:pPr>
        <w:tabs>
          <w:tab w:pos="624" w:val="left"/>
        </w:tabs>
        <w:ind w:left="624" w:hanging="624"/>
      </w:pPr>
      <w:r>
        <w:rPr>
          <w:b/>
        </w:rPr>
        <w:t>10.1</w:t>
        <w:tab/>
      </w:r>
      <w:r>
        <w:rPr>
          <w:b w:val="0"/>
          <w:i w:val="0"/>
        </w:rPr>
        <w:t xml:space="preserve">Le Repreneur notifie au Cédant tout écart entre l'annexe 1 et le matériel reçu (équipement manquant ou en surnombre, numéro de série différent, état non conforme) dans un délai de </w:t>
      </w:r>
      <w:r>
        <w:rPr>
          <w:b w:val="0"/>
          <w:i w:val="0"/>
          <w:highlight w:val="yellow"/>
        </w:rPr>
        <w:t>[nombre]</w:t>
      </w:r>
      <w:r>
        <w:rPr>
          <w:b w:val="0"/>
          <w:i w:val="0"/>
        </w:rPr>
        <w:t xml:space="preserve"> jours ouvrés après l'enlèvement, avec le numéro de série et des photographies. À défaut, l'inventaire du Cédant fait foi.</w:t>
      </w:r>
    </w:p>
    <w:p>
      <w:pPr>
        <w:tabs>
          <w:tab w:pos="624" w:val="left"/>
        </w:tabs>
        <w:ind w:left="624" w:hanging="624"/>
      </w:pPr>
      <w:r>
        <w:rPr>
          <w:b/>
        </w:rPr>
        <w:t>10.2</w:t>
        <w:tab/>
      </w:r>
      <w:r>
        <w:rPr>
          <w:b w:val="0"/>
          <w:i w:val="0"/>
        </w:rPr>
        <w:t>La cotation finale est établie équipement par équipement, en appliquant la grille d'ajustement de l'offre. Toute révision est motivée.</w:t>
      </w:r>
    </w:p>
    <w:p>
      <w:pPr>
        <w:tabs>
          <w:tab w:pos="624" w:val="left"/>
        </w:tabs>
        <w:ind w:left="624" w:hanging="624"/>
      </w:pPr>
      <w:r>
        <w:rPr>
          <w:b/>
        </w:rPr>
        <w:t>10.3</w:t>
        <w:tab/>
      </w:r>
      <w:r>
        <w:rPr>
          <w:b w:val="0"/>
          <w:i w:val="0"/>
        </w:rPr>
        <w:t xml:space="preserve">Le Cédant dispose de </w:t>
      </w:r>
      <w:r>
        <w:rPr>
          <w:b w:val="0"/>
          <w:i w:val="0"/>
          <w:highlight w:val="yellow"/>
        </w:rPr>
        <w:t>[nombre]</w:t>
      </w:r>
      <w:r>
        <w:rPr>
          <w:b w:val="0"/>
          <w:i w:val="0"/>
        </w:rPr>
        <w:t xml:space="preserve"> jours ouvrés pour accepter la cotation finale. En cas de refus, les équipements concernés sont </w:t>
      </w:r>
      <w:r>
        <w:rPr>
          <w:b w:val="0"/>
          <w:i w:val="0"/>
          <w:highlight w:val="yellow"/>
        </w:rPr>
        <w:t>[restitués au Cédant aux frais de [partie] / orientés vers la filière DEEE]</w:t>
      </w:r>
      <w:r>
        <w:rPr>
          <w:b w:val="0"/>
          <w:i w:val="0"/>
        </w:rPr>
        <w:t>. Dans tous les cas, leurs supports sont effacés selon l'article 6.</w:t>
      </w:r>
    </w:p>
    <w:p>
      <w:pPr>
        <w:pStyle w:val="Heading1"/>
      </w:pPr>
      <w:r>
        <w:t>Article 11. Transfert de propriété, des risques et assurance</w:t>
      </w:r>
    </w:p>
    <w:p>
      <w:pPr>
        <w:tabs>
          <w:tab w:pos="624" w:val="left"/>
        </w:tabs>
        <w:ind w:left="624" w:hanging="624"/>
      </w:pPr>
      <w:r>
        <w:rPr>
          <w:b/>
        </w:rPr>
        <w:t>11.1</w:t>
        <w:tab/>
      </w:r>
      <w:r>
        <w:rPr>
          <w:b w:val="0"/>
          <w:i w:val="0"/>
        </w:rPr>
        <w:t xml:space="preserve">La propriété des équipements est transférée au Repreneur </w:t>
      </w:r>
      <w:r>
        <w:rPr>
          <w:b w:val="0"/>
          <w:i w:val="0"/>
          <w:highlight w:val="yellow"/>
        </w:rPr>
        <w:t>[à la signature du bon d'enlèvement / à l'acceptation de la cotation finale / au paiement complet du prix, au titre d'une clause de réserve de propriété]</w:t>
      </w:r>
      <w:r>
        <w:rPr>
          <w:b w:val="0"/>
          <w:i w:val="0"/>
        </w:rPr>
        <w:t>.</w:t>
      </w:r>
    </w:p>
    <w:p>
      <w:pPr>
        <w:tabs>
          <w:tab w:pos="624" w:val="left"/>
        </w:tabs>
        <w:ind w:left="624" w:hanging="624"/>
      </w:pPr>
      <w:r>
        <w:rPr>
          <w:b/>
        </w:rPr>
        <w:t>11.2</w:t>
        <w:tab/>
      </w:r>
      <w:r>
        <w:rPr>
          <w:b w:val="0"/>
          <w:i w:val="0"/>
        </w:rPr>
        <w:t xml:space="preserve">Les risques sont transférés au Repreneur </w:t>
      </w:r>
      <w:r>
        <w:rPr>
          <w:b w:val="0"/>
          <w:i w:val="0"/>
          <w:highlight w:val="yellow"/>
        </w:rPr>
        <w:t>[à la signature du bon d'enlèvement]</w:t>
      </w:r>
      <w:r>
        <w:rPr>
          <w:b w:val="0"/>
          <w:i w:val="0"/>
        </w:rPr>
        <w:t>.</w:t>
      </w:r>
    </w:p>
    <w:p>
      <w:pPr>
        <w:tabs>
          <w:tab w:pos="624" w:val="left"/>
        </w:tabs>
        <w:ind w:left="624" w:hanging="624"/>
      </w:pPr>
      <w:r>
        <w:rPr>
          <w:b/>
        </w:rPr>
        <w:t>11.3</w:t>
        <w:tab/>
      </w:r>
      <w:r>
        <w:rPr>
          <w:b w:val="0"/>
          <w:i w:val="0"/>
        </w:rPr>
        <w:t>Le Repreneur justifie d'une assurance couvrant le matériel pendant le transport et l'entreposage, à compter du transfert des risques.</w:t>
      </w:r>
    </w:p>
    <w:p>
      <w:pPr>
        <w:ind w:left="624"/>
      </w:pPr>
      <w:r>
        <w:rPr>
          <w:b/>
          <w:i/>
          <w:color w:val="5F6673"/>
          <w:sz w:val="19"/>
        </w:rPr>
        <w:t xml:space="preserve">Note : </w:t>
      </w:r>
      <w:r>
        <w:rPr>
          <w:b w:val="0"/>
          <w:i/>
          <w:color w:val="5F6673"/>
          <w:sz w:val="19"/>
        </w:rPr>
        <w:t>Par défaut, la propriété est acquise à l'acheteur dès l'accord sur la chose et le prix (Code civil, article 1583) ; ce transfert, qui emporte celui des risques, peut être différé par la volonté des parties (article 1196). Une réserve de propriété est convenue par écrit (articles 2367 et 2368).</w:t>
      </w:r>
    </w:p>
    <w:p>
      <w:pPr>
        <w:pStyle w:val="Heading1"/>
      </w:pPr>
      <w:r>
        <w:t>Article 12. Facturation et paiement</w:t>
      </w:r>
    </w:p>
    <w:p>
      <w:pPr>
        <w:tabs>
          <w:tab w:pos="624" w:val="left"/>
        </w:tabs>
        <w:ind w:left="624" w:hanging="624"/>
      </w:pPr>
      <w:r>
        <w:rPr>
          <w:b/>
        </w:rPr>
        <w:t>12.1</w:t>
        <w:tab/>
      </w:r>
      <w:r>
        <w:rPr>
          <w:b w:val="0"/>
          <w:i w:val="0"/>
        </w:rPr>
        <w:t xml:space="preserve">La facture de cession est émise par </w:t>
      </w:r>
      <w:r>
        <w:rPr>
          <w:b w:val="0"/>
          <w:i w:val="0"/>
          <w:highlight w:val="yellow"/>
        </w:rPr>
        <w:t>[le Cédant / le Repreneur, par autofacturation, en vertu d'un mandat préalable du Cédant]</w:t>
      </w:r>
      <w:r>
        <w:rPr>
          <w:b w:val="0"/>
          <w:i w:val="0"/>
        </w:rPr>
        <w:t>, après acceptation de la cotation finale. Le régime de TVA applicable est déterminé par le Cédant.</w:t>
      </w:r>
    </w:p>
    <w:p>
      <w:pPr>
        <w:tabs>
          <w:tab w:pos="624" w:val="left"/>
        </w:tabs>
        <w:ind w:left="624" w:hanging="624"/>
      </w:pPr>
      <w:r>
        <w:rPr>
          <w:b/>
        </w:rPr>
        <w:t>12.2</w:t>
        <w:tab/>
      </w:r>
      <w:r>
        <w:rPr>
          <w:b w:val="0"/>
          <w:i w:val="0"/>
        </w:rPr>
        <w:t xml:space="preserve">Le Repreneur paie le prix dans un délai de </w:t>
      </w:r>
      <w:r>
        <w:rPr>
          <w:b w:val="0"/>
          <w:i w:val="0"/>
          <w:highlight w:val="yellow"/>
        </w:rPr>
        <w:t>[nombre]</w:t>
      </w:r>
      <w:r>
        <w:rPr>
          <w:b w:val="0"/>
          <w:i w:val="0"/>
        </w:rPr>
        <w:t xml:space="preserve"> jours à compter de </w:t>
      </w:r>
      <w:r>
        <w:rPr>
          <w:b w:val="0"/>
          <w:i w:val="0"/>
          <w:highlight w:val="yellow"/>
        </w:rPr>
        <w:t>[la date d'émission de la facture]</w:t>
      </w:r>
      <w:r>
        <w:rPr>
          <w:b w:val="0"/>
          <w:i w:val="0"/>
        </w:rPr>
        <w:t xml:space="preserve">, par </w:t>
      </w:r>
      <w:r>
        <w:rPr>
          <w:b w:val="0"/>
          <w:i w:val="0"/>
          <w:highlight w:val="yellow"/>
        </w:rPr>
        <w:t>[virement bancaire]</w:t>
      </w:r>
      <w:r>
        <w:rPr>
          <w:b w:val="0"/>
          <w:i w:val="0"/>
        </w:rPr>
        <w:t>.</w:t>
      </w:r>
    </w:p>
    <w:p>
      <w:pPr>
        <w:tabs>
          <w:tab w:pos="624" w:val="left"/>
        </w:tabs>
        <w:ind w:left="624" w:hanging="624"/>
      </w:pPr>
      <w:r>
        <w:rPr>
          <w:b/>
        </w:rPr>
        <w:t>12.3</w:t>
        <w:tab/>
      </w:r>
      <w:r>
        <w:rPr>
          <w:b w:val="0"/>
          <w:i w:val="0"/>
          <w:highlight w:val="yellow"/>
        </w:rPr>
        <w:t>[Option : les prestations facturées au Cédant sont payées dans un délai de [nombre] jours à compter de la réception de la facture.]</w:t>
      </w:r>
    </w:p>
    <w:p>
      <w:pPr>
        <w:ind w:left="624"/>
      </w:pPr>
      <w:r>
        <w:rPr>
          <w:b/>
          <w:i/>
          <w:color w:val="5F6673"/>
          <w:sz w:val="19"/>
        </w:rPr>
        <w:t xml:space="preserve">Note : </w:t>
      </w:r>
      <w:r>
        <w:rPr>
          <w:b w:val="0"/>
          <w:i/>
          <w:color w:val="5F6673"/>
          <w:sz w:val="19"/>
        </w:rPr>
        <w:t>Entre professionnels, le délai convenu ne peut dépasser 60 jours après la date d'émission de la facture, ou 45 jours fin de mois si le contrat le stipule expressément ; à défaut de stipulation, il est de 30 jours après la réception des marchandises (Code de commerce, article L441-10). Un retard entraîne des pénalités et une indemnité forfaitaire de 40 euros pour frais de recouvrement (article D441-5). Une personne publique adapte cet article à ses propres règles d'encaissement et de paiement.</w:t>
      </w:r>
    </w:p>
    <w:p>
      <w:pPr>
        <w:pStyle w:val="Heading1"/>
      </w:pPr>
      <w:r>
        <w:t>Article 13. Livrables et délais</w:t>
      </w:r>
    </w:p>
    <w:tbl>
      <w:tblPr>
        <w:tblStyle w:val="TableGrid"/>
        <w:tblW w:type="auto" w:w="0"/>
        <w:jc w:val="center"/>
        <w:tblLook w:firstColumn="1" w:firstRow="1" w:lastColumn="0" w:lastRow="0" w:noHBand="0" w:noVBand="1" w:val="04A0"/>
      </w:tblPr>
      <w:tblGrid>
        <w:gridCol w:w="2408"/>
        <w:gridCol w:w="2408"/>
        <w:gridCol w:w="2408"/>
        <w:gridCol w:w="2408"/>
      </w:tblGrid>
      <w:tr>
        <w:trPr>
          <w:tblHeader w:val="true"/>
        </w:trPr>
        <w:tc>
          <w:tcPr>
            <w:tcW w:type="dxa" w:w="2268"/>
            <w:shd w:val="clear" w:color="auto" w:fill="E7EAF0"/>
          </w:tcPr>
          <w:p>
            <w:r/>
            <w:r>
              <w:rPr>
                <w:b/>
                <w:i w:val="0"/>
                <w:sz w:val="18"/>
              </w:rPr>
              <w:t>Livrable</w:t>
            </w:r>
          </w:p>
        </w:tc>
        <w:tc>
          <w:tcPr>
            <w:tcW w:type="dxa" w:w="3628"/>
            <w:shd w:val="clear" w:color="auto" w:fill="E7EAF0"/>
          </w:tcPr>
          <w:p>
            <w:r/>
            <w:r>
              <w:rPr>
                <w:b/>
                <w:i w:val="0"/>
                <w:sz w:val="18"/>
              </w:rPr>
              <w:t>Contenu</w:t>
            </w:r>
          </w:p>
        </w:tc>
        <w:tc>
          <w:tcPr>
            <w:tcW w:type="dxa" w:w="1814"/>
            <w:shd w:val="clear" w:color="auto" w:fill="E7EAF0"/>
          </w:tcPr>
          <w:p>
            <w:r/>
            <w:r>
              <w:rPr>
                <w:b/>
                <w:i w:val="0"/>
                <w:sz w:val="18"/>
              </w:rPr>
              <w:t>Délai</w:t>
            </w:r>
          </w:p>
        </w:tc>
        <w:tc>
          <w:tcPr>
            <w:tcW w:type="dxa" w:w="1587"/>
            <w:shd w:val="clear" w:color="auto" w:fill="E7EAF0"/>
          </w:tcPr>
          <w:p>
            <w:r/>
            <w:r>
              <w:rPr>
                <w:b/>
                <w:i w:val="0"/>
                <w:sz w:val="18"/>
              </w:rPr>
              <w:t>Format</w:t>
            </w:r>
          </w:p>
        </w:tc>
      </w:tr>
      <w:tr>
        <w:tc>
          <w:tcPr>
            <w:tcW w:type="dxa" w:w="2268"/>
          </w:tcPr>
          <w:p>
            <w:r/>
            <w:r>
              <w:rPr>
                <w:b w:val="0"/>
                <w:i w:val="0"/>
                <w:sz w:val="18"/>
              </w:rPr>
              <w:t>Bon d'enlèvement</w:t>
            </w:r>
          </w:p>
        </w:tc>
        <w:tc>
          <w:tcPr>
            <w:tcW w:type="dxa" w:w="3628"/>
          </w:tcPr>
          <w:p>
            <w:r/>
            <w:r>
              <w:rPr>
                <w:b w:val="0"/>
                <w:i w:val="0"/>
                <w:sz w:val="18"/>
              </w:rPr>
              <w:t>Comptage contradictoire signé (article 5.3)</w:t>
            </w:r>
          </w:p>
        </w:tc>
        <w:tc>
          <w:tcPr>
            <w:tcW w:type="dxa" w:w="1814"/>
          </w:tcPr>
          <w:p>
            <w:r/>
            <w:r>
              <w:rPr>
                <w:b w:val="0"/>
                <w:i w:val="0"/>
                <w:sz w:val="18"/>
              </w:rPr>
              <w:t>Le jour de l'enlèvement</w:t>
            </w:r>
          </w:p>
        </w:tc>
        <w:tc>
          <w:tcPr>
            <w:tcW w:type="dxa" w:w="1587"/>
          </w:tcPr>
          <w:p>
            <w:r/>
            <w:r>
              <w:rPr>
                <w:b w:val="0"/>
                <w:i w:val="0"/>
                <w:sz w:val="18"/>
                <w:highlight w:val="yellow"/>
              </w:rPr>
              <w:t>[Papier ou PDF]</w:t>
            </w:r>
          </w:p>
        </w:tc>
      </w:tr>
      <w:tr>
        <w:tc>
          <w:tcPr>
            <w:tcW w:type="dxa" w:w="2268"/>
          </w:tcPr>
          <w:p>
            <w:r/>
            <w:r>
              <w:rPr>
                <w:b w:val="0"/>
                <w:i w:val="0"/>
                <w:sz w:val="18"/>
              </w:rPr>
              <w:t>Inventaire de réception</w:t>
            </w:r>
          </w:p>
        </w:tc>
        <w:tc>
          <w:tcPr>
            <w:tcW w:type="dxa" w:w="3628"/>
          </w:tcPr>
          <w:p>
            <w:r/>
            <w:r>
              <w:rPr>
                <w:b w:val="0"/>
                <w:i w:val="0"/>
                <w:sz w:val="18"/>
              </w:rPr>
              <w:t>Liste par numéro de série et écarts (articles 5.5 et 10.1)</w:t>
            </w:r>
          </w:p>
        </w:tc>
        <w:tc>
          <w:tcPr>
            <w:tcW w:type="dxa" w:w="1814"/>
          </w:tcPr>
          <w:p>
            <w:r/>
            <w:r>
              <w:rPr>
                <w:b w:val="0"/>
                <w:i w:val="0"/>
                <w:sz w:val="18"/>
                <w:highlight w:val="yellow"/>
              </w:rPr>
              <w:t>[nombre]</w:t>
            </w:r>
            <w:r>
              <w:rPr>
                <w:b w:val="0"/>
                <w:i w:val="0"/>
                <w:sz w:val="18"/>
              </w:rPr>
              <w:t xml:space="preserve"> jours ouvrés</w:t>
            </w:r>
          </w:p>
        </w:tc>
        <w:tc>
          <w:tcPr>
            <w:tcW w:type="dxa" w:w="1587"/>
          </w:tcPr>
          <w:p>
            <w:r/>
            <w:r>
              <w:rPr>
                <w:b w:val="0"/>
                <w:i w:val="0"/>
                <w:sz w:val="18"/>
                <w:highlight w:val="yellow"/>
              </w:rPr>
              <w:t>[Tableur]</w:t>
            </w:r>
          </w:p>
        </w:tc>
      </w:tr>
      <w:tr>
        <w:tc>
          <w:tcPr>
            <w:tcW w:type="dxa" w:w="2268"/>
          </w:tcPr>
          <w:p>
            <w:r/>
            <w:r>
              <w:rPr>
                <w:b w:val="0"/>
                <w:i w:val="0"/>
                <w:sz w:val="18"/>
              </w:rPr>
              <w:t>Certificats d'effacement ou de destruction</w:t>
            </w:r>
          </w:p>
        </w:tc>
        <w:tc>
          <w:tcPr>
            <w:tcW w:type="dxa" w:w="3628"/>
          </w:tcPr>
          <w:p>
            <w:r/>
            <w:r>
              <w:rPr>
                <w:b w:val="0"/>
                <w:i w:val="0"/>
                <w:sz w:val="18"/>
              </w:rPr>
              <w:t>Un certificat par support (article 6.4)</w:t>
            </w:r>
          </w:p>
        </w:tc>
        <w:tc>
          <w:tcPr>
            <w:tcW w:type="dxa" w:w="1814"/>
          </w:tcPr>
          <w:p>
            <w:r/>
            <w:r>
              <w:rPr>
                <w:b w:val="0"/>
                <w:i w:val="0"/>
                <w:sz w:val="18"/>
                <w:highlight w:val="yellow"/>
              </w:rPr>
              <w:t>[nombre]</w:t>
            </w:r>
            <w:r>
              <w:rPr>
                <w:b w:val="0"/>
                <w:i w:val="0"/>
                <w:sz w:val="18"/>
              </w:rPr>
              <w:t xml:space="preserve"> jours ouvrés</w:t>
            </w:r>
          </w:p>
        </w:tc>
        <w:tc>
          <w:tcPr>
            <w:tcW w:type="dxa" w:w="1587"/>
          </w:tcPr>
          <w:p>
            <w:r/>
            <w:r>
              <w:rPr>
                <w:b w:val="0"/>
                <w:i w:val="0"/>
                <w:sz w:val="18"/>
                <w:highlight w:val="yellow"/>
              </w:rPr>
              <w:t>[PDF signé et tableur]</w:t>
            </w:r>
          </w:p>
        </w:tc>
      </w:tr>
      <w:tr>
        <w:tc>
          <w:tcPr>
            <w:tcW w:type="dxa" w:w="2268"/>
          </w:tcPr>
          <w:p>
            <w:r/>
            <w:r>
              <w:rPr>
                <w:b w:val="0"/>
                <w:i w:val="0"/>
                <w:sz w:val="18"/>
              </w:rPr>
              <w:t>Cotation finale</w:t>
            </w:r>
          </w:p>
        </w:tc>
        <w:tc>
          <w:tcPr>
            <w:tcW w:type="dxa" w:w="3628"/>
          </w:tcPr>
          <w:p>
            <w:r/>
            <w:r>
              <w:rPr>
                <w:b w:val="0"/>
                <w:i w:val="0"/>
                <w:sz w:val="18"/>
              </w:rPr>
              <w:t>Prix par équipement, ajustements motivés (article 10.2)</w:t>
            </w:r>
          </w:p>
        </w:tc>
        <w:tc>
          <w:tcPr>
            <w:tcW w:type="dxa" w:w="1814"/>
          </w:tcPr>
          <w:p>
            <w:r/>
            <w:r>
              <w:rPr>
                <w:b w:val="0"/>
                <w:i w:val="0"/>
                <w:sz w:val="18"/>
                <w:highlight w:val="yellow"/>
              </w:rPr>
              <w:t>[nombre]</w:t>
            </w:r>
            <w:r>
              <w:rPr>
                <w:b w:val="0"/>
                <w:i w:val="0"/>
                <w:sz w:val="18"/>
              </w:rPr>
              <w:t xml:space="preserve"> jours ouvrés</w:t>
            </w:r>
          </w:p>
        </w:tc>
        <w:tc>
          <w:tcPr>
            <w:tcW w:type="dxa" w:w="1587"/>
          </w:tcPr>
          <w:p>
            <w:r/>
            <w:r>
              <w:rPr>
                <w:b w:val="0"/>
                <w:i w:val="0"/>
                <w:sz w:val="18"/>
                <w:highlight w:val="yellow"/>
              </w:rPr>
              <w:t>[Tableur]</w:t>
            </w:r>
          </w:p>
        </w:tc>
      </w:tr>
      <w:tr>
        <w:tc>
          <w:tcPr>
            <w:tcW w:type="dxa" w:w="2268"/>
          </w:tcPr>
          <w:p>
            <w:r/>
            <w:r>
              <w:rPr>
                <w:b w:val="0"/>
                <w:i w:val="0"/>
                <w:sz w:val="18"/>
              </w:rPr>
              <w:t>Facture ou autofacture</w:t>
            </w:r>
          </w:p>
        </w:tc>
        <w:tc>
          <w:tcPr>
            <w:tcW w:type="dxa" w:w="3628"/>
          </w:tcPr>
          <w:p>
            <w:r/>
            <w:r>
              <w:rPr>
                <w:b w:val="0"/>
                <w:i w:val="0"/>
                <w:sz w:val="18"/>
              </w:rPr>
              <w:t>Article 12.1</w:t>
            </w:r>
          </w:p>
        </w:tc>
        <w:tc>
          <w:tcPr>
            <w:tcW w:type="dxa" w:w="1814"/>
          </w:tcPr>
          <w:p>
            <w:r/>
            <w:r>
              <w:rPr>
                <w:b w:val="0"/>
                <w:i w:val="0"/>
                <w:sz w:val="18"/>
              </w:rPr>
              <w:t>Après acceptation de la cotation finale</w:t>
            </w:r>
          </w:p>
        </w:tc>
        <w:tc>
          <w:tcPr>
            <w:tcW w:type="dxa" w:w="1587"/>
          </w:tcPr>
          <w:p>
            <w:r/>
            <w:r>
              <w:rPr>
                <w:b w:val="0"/>
                <w:i w:val="0"/>
                <w:sz w:val="18"/>
                <w:highlight w:val="yellow"/>
              </w:rPr>
              <w:t>[PDF ou format électronique]</w:t>
            </w:r>
          </w:p>
        </w:tc>
      </w:tr>
      <w:tr>
        <w:tc>
          <w:tcPr>
            <w:tcW w:type="dxa" w:w="2268"/>
          </w:tcPr>
          <w:p>
            <w:r/>
            <w:r>
              <w:rPr>
                <w:b w:val="0"/>
                <w:i w:val="0"/>
                <w:sz w:val="18"/>
              </w:rPr>
              <w:t>Bilan de traitement</w:t>
            </w:r>
          </w:p>
        </w:tc>
        <w:tc>
          <w:tcPr>
            <w:tcW w:type="dxa" w:w="3628"/>
          </w:tcPr>
          <w:p>
            <w:r/>
            <w:r>
              <w:rPr>
                <w:b w:val="0"/>
                <w:i w:val="0"/>
                <w:sz w:val="18"/>
              </w:rPr>
              <w:t>Devenir de chaque numéro de série (article 8.4)</w:t>
            </w:r>
          </w:p>
        </w:tc>
        <w:tc>
          <w:tcPr>
            <w:tcW w:type="dxa" w:w="1814"/>
          </w:tcPr>
          <w:p>
            <w:r/>
            <w:r>
              <w:rPr>
                <w:b w:val="0"/>
                <w:i w:val="0"/>
                <w:sz w:val="18"/>
                <w:highlight w:val="yellow"/>
              </w:rPr>
              <w:t>[nombre]</w:t>
            </w:r>
            <w:r>
              <w:rPr>
                <w:b w:val="0"/>
                <w:i w:val="0"/>
                <w:sz w:val="18"/>
              </w:rPr>
              <w:t xml:space="preserve"> jours ouvrés</w:t>
            </w:r>
          </w:p>
        </w:tc>
        <w:tc>
          <w:tcPr>
            <w:tcW w:type="dxa" w:w="1587"/>
          </w:tcPr>
          <w:p>
            <w:r/>
            <w:r>
              <w:rPr>
                <w:b w:val="0"/>
                <w:i w:val="0"/>
                <w:sz w:val="18"/>
                <w:highlight w:val="yellow"/>
              </w:rPr>
              <w:t>[Tableur]</w:t>
            </w:r>
          </w:p>
        </w:tc>
      </w:tr>
      <w:tr>
        <w:tc>
          <w:tcPr>
            <w:tcW w:type="dxa" w:w="2268"/>
          </w:tcPr>
          <w:p>
            <w:r/>
            <w:r>
              <w:rPr>
                <w:b w:val="0"/>
                <w:i w:val="0"/>
                <w:sz w:val="18"/>
              </w:rPr>
              <w:t>Justificatifs DEEE</w:t>
            </w:r>
          </w:p>
        </w:tc>
        <w:tc>
          <w:tcPr>
            <w:tcW w:type="dxa" w:w="3628"/>
          </w:tcPr>
          <w:p>
            <w:r/>
            <w:r>
              <w:rPr>
                <w:b w:val="0"/>
                <w:i w:val="0"/>
                <w:sz w:val="18"/>
              </w:rPr>
              <w:t>Bordereau de suivi ou attestation de prise en charge (article 8.3)</w:t>
            </w:r>
          </w:p>
        </w:tc>
        <w:tc>
          <w:tcPr>
            <w:tcW w:type="dxa" w:w="1814"/>
          </w:tcPr>
          <w:p>
            <w:r/>
            <w:r>
              <w:rPr>
                <w:b w:val="0"/>
                <w:i w:val="0"/>
                <w:sz w:val="18"/>
                <w:highlight w:val="yellow"/>
              </w:rPr>
              <w:t>[nombre]</w:t>
            </w:r>
            <w:r>
              <w:rPr>
                <w:b w:val="0"/>
                <w:i w:val="0"/>
                <w:sz w:val="18"/>
              </w:rPr>
              <w:t xml:space="preserve"> jours ouvrés</w:t>
            </w:r>
          </w:p>
        </w:tc>
        <w:tc>
          <w:tcPr>
            <w:tcW w:type="dxa" w:w="1587"/>
          </w:tcPr>
          <w:p>
            <w:r/>
            <w:r>
              <w:rPr>
                <w:b w:val="0"/>
                <w:i w:val="0"/>
                <w:sz w:val="18"/>
                <w:highlight w:val="yellow"/>
              </w:rPr>
              <w:t>[PDF]</w:t>
            </w:r>
          </w:p>
        </w:tc>
      </w:tr>
      <w:tr>
        <w:tc>
          <w:tcPr>
            <w:tcW w:type="dxa" w:w="2268"/>
          </w:tcPr>
          <w:p>
            <w:r/>
            <w:r>
              <w:rPr>
                <w:b w:val="0"/>
                <w:i w:val="0"/>
                <w:sz w:val="18"/>
              </w:rPr>
              <w:t>Attestation de cession</w:t>
            </w:r>
          </w:p>
        </w:tc>
        <w:tc>
          <w:tcPr>
            <w:tcW w:type="dxa" w:w="3628"/>
          </w:tcPr>
          <w:p>
            <w:r/>
            <w:r>
              <w:rPr>
                <w:b w:val="0"/>
                <w:i w:val="0"/>
                <w:sz w:val="18"/>
              </w:rPr>
              <w:t>Récapitulatif signé (annexe 5)</w:t>
            </w:r>
          </w:p>
        </w:tc>
        <w:tc>
          <w:tcPr>
            <w:tcW w:type="dxa" w:w="1814"/>
          </w:tcPr>
          <w:p>
            <w:r/>
            <w:r>
              <w:rPr>
                <w:b w:val="0"/>
                <w:i w:val="0"/>
                <w:sz w:val="18"/>
              </w:rPr>
              <w:t>À la clôture de l'opération</w:t>
            </w:r>
          </w:p>
        </w:tc>
        <w:tc>
          <w:tcPr>
            <w:tcW w:type="dxa" w:w="1587"/>
          </w:tcPr>
          <w:p>
            <w:r/>
            <w:r>
              <w:rPr>
                <w:b w:val="0"/>
                <w:i w:val="0"/>
                <w:sz w:val="18"/>
                <w:highlight w:val="yellow"/>
              </w:rPr>
              <w:t>[PDF signé]</w:t>
            </w:r>
          </w:p>
        </w:tc>
      </w:tr>
    </w:tbl>
    <w:p>
      <w:pPr>
        <w:spacing w:after="40"/>
      </w:pPr>
    </w:p>
    <w:p>
      <w:pPr>
        <w:ind w:left="624"/>
      </w:pPr>
      <w:r>
        <w:rPr>
          <w:b/>
          <w:i/>
          <w:color w:val="5F6673"/>
          <w:sz w:val="19"/>
        </w:rPr>
        <w:t xml:space="preserve">Note : </w:t>
      </w:r>
      <w:r>
        <w:rPr>
          <w:b w:val="0"/>
          <w:i/>
          <w:color w:val="5F6673"/>
          <w:sz w:val="19"/>
        </w:rPr>
        <w:t>Les délais courent à compter de l'enlèvement, sauf mention contraire.</w:t>
      </w:r>
    </w:p>
    <w:p>
      <w:pPr>
        <w:pStyle w:val="Heading1"/>
      </w:pPr>
      <w:r>
        <w:t>Article 14. Pénalités</w:t>
      </w:r>
    </w:p>
    <w:p>
      <w:pPr>
        <w:tabs>
          <w:tab w:pos="624" w:val="left"/>
        </w:tabs>
        <w:ind w:left="624" w:hanging="624"/>
      </w:pPr>
      <w:r>
        <w:rPr>
          <w:b/>
        </w:rPr>
        <w:t>14.1</w:t>
        <w:tab/>
      </w:r>
      <w:r>
        <w:rPr>
          <w:b w:val="0"/>
          <w:i w:val="0"/>
        </w:rPr>
        <w:t xml:space="preserve">Retard dans la remise des certificats d'effacement : </w:t>
      </w:r>
      <w:r>
        <w:rPr>
          <w:b w:val="0"/>
          <w:i w:val="0"/>
          <w:highlight w:val="yellow"/>
        </w:rPr>
        <w:t>[montant]</w:t>
      </w:r>
      <w:r>
        <w:rPr>
          <w:b w:val="0"/>
          <w:i w:val="0"/>
        </w:rPr>
        <w:t xml:space="preserve"> euros par jour calendaire de retard.</w:t>
      </w:r>
    </w:p>
    <w:p>
      <w:pPr>
        <w:tabs>
          <w:tab w:pos="624" w:val="left"/>
        </w:tabs>
        <w:ind w:left="624" w:hanging="624"/>
      </w:pPr>
      <w:r>
        <w:rPr>
          <w:b/>
        </w:rPr>
        <w:t>14.2</w:t>
        <w:tab/>
      </w:r>
      <w:r>
        <w:rPr>
          <w:b w:val="0"/>
          <w:i w:val="0"/>
        </w:rPr>
        <w:t xml:space="preserve">Retard dans la remise du bilan de traitement : </w:t>
      </w:r>
      <w:r>
        <w:rPr>
          <w:b w:val="0"/>
          <w:i w:val="0"/>
          <w:highlight w:val="yellow"/>
        </w:rPr>
        <w:t>[montant]</w:t>
      </w:r>
      <w:r>
        <w:rPr>
          <w:b w:val="0"/>
          <w:i w:val="0"/>
        </w:rPr>
        <w:t xml:space="preserve"> euros par jour calendaire de retard.</w:t>
      </w:r>
    </w:p>
    <w:p>
      <w:pPr>
        <w:tabs>
          <w:tab w:pos="624" w:val="left"/>
        </w:tabs>
        <w:ind w:left="624" w:hanging="624"/>
      </w:pPr>
      <w:r>
        <w:rPr>
          <w:b/>
        </w:rPr>
        <w:t>14.3</w:t>
        <w:tab/>
      </w:r>
      <w:r>
        <w:rPr>
          <w:b w:val="0"/>
          <w:i w:val="0"/>
        </w:rPr>
        <w:t xml:space="preserve">Équipement perdu après la signature du bon d'enlèvement : </w:t>
      </w:r>
      <w:r>
        <w:rPr>
          <w:b w:val="0"/>
          <w:i w:val="0"/>
          <w:highlight w:val="yellow"/>
        </w:rPr>
        <w:t>[valeur prévue au bordereau des prix / montant forfaitaire par équipement]</w:t>
      </w:r>
      <w:r>
        <w:rPr>
          <w:b w:val="0"/>
          <w:i w:val="0"/>
        </w:rPr>
        <w:t>, sans préjudice des obligations du Repreneur au titre de l'article 7.4.</w:t>
      </w:r>
    </w:p>
    <w:p>
      <w:pPr>
        <w:ind w:left="624"/>
      </w:pPr>
      <w:r>
        <w:rPr>
          <w:b/>
          <w:i/>
          <w:color w:val="5F6673"/>
          <w:sz w:val="19"/>
        </w:rPr>
        <w:t xml:space="preserve">Note : </w:t>
      </w:r>
      <w:r>
        <w:rPr>
          <w:b w:val="0"/>
          <w:i/>
          <w:color w:val="5F6673"/>
          <w:sz w:val="19"/>
        </w:rPr>
        <w:t>Pour un marché public, articulez ces pénalités avec le cahier des clauses administratives générales retenu, par exemple celui des marchés de fournitures courantes et de services approuvé par l'arrêté du 30 mars 2021.</w:t>
      </w:r>
    </w:p>
    <w:p>
      <w:pPr>
        <w:pStyle w:val="Heading1"/>
      </w:pPr>
      <w:r>
        <w:t>Article 15. Audit et contrôle</w:t>
      </w:r>
    </w:p>
    <w:p>
      <w:pPr>
        <w:tabs>
          <w:tab w:pos="624" w:val="left"/>
        </w:tabs>
        <w:ind w:left="624" w:hanging="624"/>
      </w:pPr>
      <w:r>
        <w:rPr>
          <w:b/>
        </w:rPr>
        <w:t>15.1</w:t>
        <w:tab/>
      </w:r>
      <w:r>
        <w:rPr>
          <w:b w:val="0"/>
          <w:i w:val="0"/>
        </w:rPr>
        <w:t xml:space="preserve">Le Cédant peut, avec un préavis de </w:t>
      </w:r>
      <w:r>
        <w:rPr>
          <w:b w:val="0"/>
          <w:i w:val="0"/>
          <w:highlight w:val="yellow"/>
        </w:rPr>
        <w:t>[nombre]</w:t>
      </w:r>
      <w:r>
        <w:rPr>
          <w:b w:val="0"/>
          <w:i w:val="0"/>
        </w:rPr>
        <w:t xml:space="preserve"> jours ouvrés, visiter les sites du Repreneur et de ses sous-traitants, ou faire réaliser un audit par un tiers tenu à la confidentialité.</w:t>
      </w:r>
    </w:p>
    <w:p>
      <w:pPr>
        <w:tabs>
          <w:tab w:pos="624" w:val="left"/>
        </w:tabs>
        <w:ind w:left="624" w:hanging="624"/>
      </w:pPr>
      <w:r>
        <w:rPr>
          <w:b/>
        </w:rPr>
        <w:t>15.2</w:t>
        <w:tab/>
      </w:r>
      <w:r>
        <w:rPr>
          <w:b w:val="0"/>
          <w:i w:val="0"/>
        </w:rPr>
        <w:t>Le Repreneur met à la disposition du Cédant les informations nécessaires pour démontrer le respect de ses obligations (RGPD, article 28).</w:t>
      </w:r>
    </w:p>
    <w:p>
      <w:pPr>
        <w:tabs>
          <w:tab w:pos="624" w:val="left"/>
        </w:tabs>
        <w:ind w:left="624" w:hanging="624"/>
      </w:pPr>
      <w:r>
        <w:rPr>
          <w:b/>
        </w:rPr>
        <w:t>15.3</w:t>
        <w:tab/>
      </w:r>
      <w:r>
        <w:rPr>
          <w:b w:val="0"/>
          <w:i w:val="0"/>
        </w:rPr>
        <w:t>Le Cédant peut demander, par échantillonnage, la preuve de l'effacement d'équipements désignés par leur numéro de série.</w:t>
      </w:r>
    </w:p>
    <w:p>
      <w:pPr>
        <w:pStyle w:val="Heading1"/>
      </w:pPr>
      <w:r>
        <w:t>Article 16. Contenu des candidatures et des offres</w:t>
      </w:r>
    </w:p>
    <w:p>
      <w:pPr>
        <w:tabs>
          <w:tab w:pos="624" w:val="left"/>
        </w:tabs>
        <w:ind w:left="624" w:hanging="624"/>
      </w:pPr>
      <w:r>
        <w:rPr>
          <w:b/>
        </w:rPr>
        <w:t>16.1</w:t>
        <w:tab/>
      </w:r>
      <w:r>
        <w:rPr>
          <w:b w:val="0"/>
          <w:i w:val="0"/>
        </w:rPr>
        <w:t>Pièces relatives au candidat :</w:t>
      </w:r>
    </w:p>
    <w:p>
      <w:pPr>
        <w:spacing w:after="40"/>
        <w:ind w:left="964" w:hanging="283"/>
      </w:pPr>
      <w:r>
        <w:rPr>
          <w:b w:val="0"/>
          <w:i w:val="0"/>
        </w:rPr>
        <w:t xml:space="preserve">a) extrait d'immatriculation (Kbis) de moins de </w:t>
      </w:r>
      <w:r>
        <w:rPr>
          <w:b w:val="0"/>
          <w:i w:val="0"/>
          <w:highlight w:val="yellow"/>
        </w:rPr>
        <w:t>[trois]</w:t>
      </w:r>
      <w:r>
        <w:rPr>
          <w:b w:val="0"/>
          <w:i w:val="0"/>
        </w:rPr>
        <w:t xml:space="preserve"> mois ;</w:t>
      </w:r>
    </w:p>
    <w:p>
      <w:pPr>
        <w:spacing w:after="40"/>
        <w:ind w:left="964" w:hanging="283"/>
      </w:pPr>
      <w:r>
        <w:rPr>
          <w:b w:val="0"/>
          <w:i w:val="0"/>
        </w:rPr>
        <w:t>b) attestation de vigilance délivrée par l'Urssaf, de moins de six mois (Code du travail, article D8222-5) ;</w:t>
      </w:r>
    </w:p>
    <w:p>
      <w:pPr>
        <w:spacing w:after="40"/>
        <w:ind w:left="964" w:hanging="283"/>
      </w:pPr>
      <w:r>
        <w:rPr>
          <w:b w:val="0"/>
          <w:i w:val="0"/>
        </w:rPr>
        <w:t xml:space="preserve">c) attestation d'assurance de responsabilité civile professionnelle en cours de validité </w:t>
      </w:r>
      <w:r>
        <w:rPr>
          <w:b w:val="0"/>
          <w:i w:val="0"/>
          <w:highlight w:val="yellow"/>
        </w:rPr>
        <w:t>[et attestation d'assurance des biens confiés]</w:t>
      </w:r>
      <w:r>
        <w:rPr>
          <w:b w:val="0"/>
          <w:i w:val="0"/>
        </w:rPr>
        <w:t xml:space="preserve"> ;</w:t>
      </w:r>
    </w:p>
    <w:p>
      <w:pPr>
        <w:spacing w:after="40"/>
        <w:ind w:left="964" w:hanging="283"/>
      </w:pPr>
      <w:r>
        <w:rPr>
          <w:b w:val="0"/>
          <w:i w:val="0"/>
        </w:rPr>
        <w:t xml:space="preserve">d) </w:t>
      </w:r>
      <w:r>
        <w:rPr>
          <w:b w:val="0"/>
          <w:i w:val="0"/>
          <w:highlight w:val="yellow"/>
        </w:rPr>
        <w:t>[nombre]</w:t>
      </w:r>
      <w:r>
        <w:rPr>
          <w:b w:val="0"/>
          <w:i w:val="0"/>
        </w:rPr>
        <w:t xml:space="preserve"> références de prestations comparables au cours des </w:t>
      </w:r>
      <w:r>
        <w:rPr>
          <w:b w:val="0"/>
          <w:i w:val="0"/>
          <w:highlight w:val="yellow"/>
        </w:rPr>
        <w:t>[nombre]</w:t>
      </w:r>
      <w:r>
        <w:rPr>
          <w:b w:val="0"/>
          <w:i w:val="0"/>
        </w:rPr>
        <w:t xml:space="preserve"> dernières années, avec un contact joignable ;</w:t>
      </w:r>
    </w:p>
    <w:p>
      <w:pPr>
        <w:spacing w:after="40"/>
        <w:ind w:left="964" w:hanging="283"/>
      </w:pPr>
      <w:r>
        <w:rPr>
          <w:b w:val="0"/>
          <w:i w:val="0"/>
        </w:rPr>
        <w:t xml:space="preserve">e) </w:t>
      </w:r>
      <w:r>
        <w:rPr>
          <w:b w:val="0"/>
          <w:i w:val="0"/>
          <w:highlight w:val="yellow"/>
        </w:rPr>
        <w:t>[pour un marché public : déclarations et attestations prévues par les documents de la consultation]</w:t>
      </w:r>
      <w:r>
        <w:rPr>
          <w:b w:val="0"/>
          <w:i w:val="0"/>
        </w:rPr>
        <w:t>.</w:t>
      </w:r>
    </w:p>
    <w:p>
      <w:pPr>
        <w:tabs>
          <w:tab w:pos="624" w:val="left"/>
        </w:tabs>
        <w:ind w:left="624" w:hanging="624"/>
      </w:pPr>
      <w:r>
        <w:rPr>
          <w:b/>
        </w:rPr>
        <w:t>16.2</w:t>
        <w:tab/>
      </w:r>
      <w:r>
        <w:rPr>
          <w:b w:val="0"/>
          <w:i w:val="0"/>
        </w:rPr>
        <w:t>Pièces de l'offre :</w:t>
      </w:r>
    </w:p>
    <w:p>
      <w:pPr>
        <w:spacing w:after="40"/>
        <w:ind w:left="964" w:hanging="283"/>
      </w:pPr>
      <w:r>
        <w:rPr>
          <w:b w:val="0"/>
          <w:i w:val="0"/>
        </w:rPr>
        <w:t>a) mémoire technique répondant aux articles 5 à 8, 13 et 15 ;</w:t>
      </w:r>
    </w:p>
    <w:p>
      <w:pPr>
        <w:spacing w:after="40"/>
        <w:ind w:left="964" w:hanging="283"/>
      </w:pPr>
      <w:r>
        <w:rPr>
          <w:b w:val="0"/>
          <w:i w:val="0"/>
        </w:rPr>
        <w:t>b) procédure d'effacement écrite : norme, niveau, technique par type de support, méthode de vérification ;</w:t>
      </w:r>
    </w:p>
    <w:p>
      <w:pPr>
        <w:spacing w:after="40"/>
        <w:ind w:left="964" w:hanging="283"/>
      </w:pPr>
      <w:r>
        <w:rPr>
          <w:b w:val="0"/>
          <w:i w:val="0"/>
        </w:rPr>
        <w:t>c) modèles de certificat d'effacement et de certificat de destruction ;</w:t>
      </w:r>
    </w:p>
    <w:p>
      <w:pPr>
        <w:spacing w:after="40"/>
        <w:ind w:left="964" w:hanging="283"/>
      </w:pPr>
      <w:r>
        <w:rPr>
          <w:b w:val="0"/>
          <w:i w:val="0"/>
        </w:rPr>
        <w:t>d) liste des sous-traitants et des sites (annexe 4) ;</w:t>
      </w:r>
    </w:p>
    <w:p>
      <w:pPr>
        <w:spacing w:after="40"/>
        <w:ind w:left="964" w:hanging="283"/>
      </w:pPr>
      <w:r>
        <w:rPr>
          <w:b w:val="0"/>
          <w:i w:val="0"/>
        </w:rPr>
        <w:t>e) acceptation de l'accord de sous-traitance (annexe 3) ou observations motivées ;</w:t>
      </w:r>
    </w:p>
    <w:p>
      <w:pPr>
        <w:spacing w:after="40"/>
        <w:ind w:left="964" w:hanging="283"/>
      </w:pPr>
      <w:r>
        <w:rPr>
          <w:b w:val="0"/>
          <w:i w:val="0"/>
        </w:rPr>
        <w:t>f) nom et adresse de l'opérateur de traitement des DEEE, justificatif de son autorisation, éco-organisme agréé de rattachement ;</w:t>
      </w:r>
    </w:p>
    <w:p>
      <w:pPr>
        <w:spacing w:after="40"/>
        <w:ind w:left="964" w:hanging="283"/>
      </w:pPr>
      <w:r>
        <w:rPr>
          <w:b w:val="0"/>
          <w:i w:val="0"/>
        </w:rPr>
        <w:t>g) exemple anonymisé de bilan de traitement ;</w:t>
      </w:r>
    </w:p>
    <w:p>
      <w:pPr>
        <w:spacing w:after="40"/>
        <w:ind w:left="964" w:hanging="283"/>
      </w:pPr>
      <w:r>
        <w:rPr>
          <w:b w:val="0"/>
          <w:i w:val="0"/>
        </w:rPr>
        <w:t>h) bordereau des prix complété (annexe 2) et grille d'ajustement ;</w:t>
      </w:r>
    </w:p>
    <w:p>
      <w:pPr>
        <w:spacing w:after="40"/>
        <w:ind w:left="964" w:hanging="283"/>
      </w:pPr>
      <w:r>
        <w:rPr>
          <w:b w:val="0"/>
          <w:i w:val="0"/>
        </w:rPr>
        <w:t>i) planning d'intervention.</w:t>
      </w:r>
    </w:p>
    <w:p>
      <w:pPr>
        <w:pStyle w:val="Heading1"/>
      </w:pPr>
      <w:r>
        <w:t>Article 17. Critères d'attribution et méthode de notation</w:t>
      </w:r>
    </w:p>
    <w:p>
      <w:pPr>
        <w:tabs>
          <w:tab w:pos="624" w:val="left"/>
        </w:tabs>
        <w:ind w:left="624" w:hanging="624"/>
      </w:pPr>
      <w:r>
        <w:rPr>
          <w:b/>
        </w:rPr>
        <w:t>17.1</w:t>
        <w:tab/>
      </w:r>
      <w:r>
        <w:rPr>
          <w:b w:val="0"/>
          <w:i w:val="0"/>
        </w:rPr>
        <w:t>Conformité. Avant toute notation, une offre est écartée si elle ne prévoit pas : un effacement selon la norme NIST SP 800-88 avec un certificat par support ; l'acceptation de l'accord de sous-traitance de l'annexe 3 ; la liste complète des sous-traitants et des sites ; un opérateur de traitement des DEEE identifié.</w:t>
      </w:r>
    </w:p>
    <w:p>
      <w:pPr>
        <w:tabs>
          <w:tab w:pos="624" w:val="left"/>
        </w:tabs>
        <w:ind w:left="624" w:hanging="624"/>
      </w:pPr>
      <w:r>
        <w:rPr>
          <w:b/>
        </w:rPr>
        <w:t>17.2</w:t>
        <w:tab/>
      </w:r>
      <w:r>
        <w:rPr>
          <w:b w:val="0"/>
          <w:i w:val="0"/>
        </w:rPr>
        <w:t>Les offres conformes sont notées selon les critères suivants :</w:t>
      </w:r>
    </w:p>
    <w:tbl>
      <w:tblPr>
        <w:tblStyle w:val="TableGrid"/>
        <w:tblW w:type="auto" w:w="0"/>
        <w:jc w:val="center"/>
        <w:tblLook w:firstColumn="1" w:firstRow="1" w:lastColumn="0" w:lastRow="0" w:noHBand="0" w:noVBand="1" w:val="04A0"/>
      </w:tblPr>
      <w:tblGrid>
        <w:gridCol w:w="3211"/>
        <w:gridCol w:w="3211"/>
        <w:gridCol w:w="3211"/>
      </w:tblGrid>
      <w:tr>
        <w:trPr>
          <w:tblHeader w:val="true"/>
        </w:trPr>
        <w:tc>
          <w:tcPr>
            <w:tcW w:type="dxa" w:w="2381"/>
            <w:shd w:val="clear" w:color="auto" w:fill="E7EAF0"/>
          </w:tcPr>
          <w:p>
            <w:r/>
            <w:r>
              <w:rPr>
                <w:b/>
                <w:i w:val="0"/>
                <w:sz w:val="19"/>
              </w:rPr>
              <w:t>Critère</w:t>
            </w:r>
          </w:p>
        </w:tc>
        <w:tc>
          <w:tcPr>
            <w:tcW w:type="dxa" w:w="1361"/>
            <w:shd w:val="clear" w:color="auto" w:fill="E7EAF0"/>
          </w:tcPr>
          <w:p>
            <w:r/>
            <w:r>
              <w:rPr>
                <w:b/>
                <w:i w:val="0"/>
                <w:sz w:val="19"/>
              </w:rPr>
              <w:t>Pondération</w:t>
            </w:r>
          </w:p>
        </w:tc>
        <w:tc>
          <w:tcPr>
            <w:tcW w:type="dxa" w:w="5556"/>
            <w:shd w:val="clear" w:color="auto" w:fill="E7EAF0"/>
          </w:tcPr>
          <w:p>
            <w:r/>
            <w:r>
              <w:rPr>
                <w:b/>
                <w:i w:val="0"/>
                <w:sz w:val="19"/>
              </w:rPr>
              <w:t>Méthode de notation</w:t>
            </w:r>
          </w:p>
        </w:tc>
      </w:tr>
      <w:tr>
        <w:tc>
          <w:tcPr>
            <w:tcW w:type="dxa" w:w="2381"/>
          </w:tcPr>
          <w:p>
            <w:r/>
            <w:r>
              <w:rPr>
                <w:b w:val="0"/>
                <w:i w:val="0"/>
                <w:sz w:val="19"/>
              </w:rPr>
              <w:t>1. Valeur de reprise</w:t>
            </w:r>
          </w:p>
        </w:tc>
        <w:tc>
          <w:tcPr>
            <w:tcW w:type="dxa" w:w="1361"/>
          </w:tcPr>
          <w:p>
            <w:r/>
            <w:r>
              <w:rPr>
                <w:b w:val="0"/>
                <w:i w:val="0"/>
                <w:sz w:val="19"/>
                <w:highlight w:val="yellow"/>
              </w:rPr>
              <w:t>[35]</w:t>
            </w:r>
            <w:r>
              <w:rPr>
                <w:b w:val="0"/>
                <w:i w:val="0"/>
                <w:sz w:val="19"/>
              </w:rPr>
              <w:t xml:space="preserve"> %</w:t>
            </w:r>
          </w:p>
        </w:tc>
        <w:tc>
          <w:tcPr>
            <w:tcW w:type="dxa" w:w="5556"/>
          </w:tcPr>
          <w:p>
            <w:r/>
            <w:r>
              <w:rPr>
                <w:b w:val="0"/>
                <w:i w:val="0"/>
                <w:sz w:val="19"/>
              </w:rPr>
              <w:t xml:space="preserve">Montant total de l'offre sur l'inventaire de l'annexe 1. Note = </w:t>
            </w:r>
            <w:r>
              <w:rPr>
                <w:b w:val="0"/>
                <w:i w:val="0"/>
                <w:sz w:val="19"/>
                <w:highlight w:val="yellow"/>
              </w:rPr>
              <w:t>[10]</w:t>
            </w:r>
            <w:r>
              <w:rPr>
                <w:b w:val="0"/>
                <w:i w:val="0"/>
                <w:sz w:val="19"/>
              </w:rPr>
              <w:t xml:space="preserve"> × offre / meilleure offre. Pour un lot facturé au Cédant : note = </w:t>
            </w:r>
            <w:r>
              <w:rPr>
                <w:b w:val="0"/>
                <w:i w:val="0"/>
                <w:sz w:val="19"/>
                <w:highlight w:val="yellow"/>
              </w:rPr>
              <w:t>[10]</w:t>
            </w:r>
            <w:r>
              <w:rPr>
                <w:b w:val="0"/>
                <w:i w:val="0"/>
                <w:sz w:val="19"/>
              </w:rPr>
              <w:t xml:space="preserve"> × offre la plus basse / offre.</w:t>
            </w:r>
          </w:p>
        </w:tc>
      </w:tr>
      <w:tr>
        <w:tc>
          <w:tcPr>
            <w:tcW w:type="dxa" w:w="2381"/>
          </w:tcPr>
          <w:p>
            <w:r/>
            <w:r>
              <w:rPr>
                <w:b w:val="0"/>
                <w:i w:val="0"/>
                <w:sz w:val="19"/>
              </w:rPr>
              <w:t>2. Sécurité des données</w:t>
            </w:r>
          </w:p>
        </w:tc>
        <w:tc>
          <w:tcPr>
            <w:tcW w:type="dxa" w:w="1361"/>
          </w:tcPr>
          <w:p>
            <w:r/>
            <w:r>
              <w:rPr>
                <w:b w:val="0"/>
                <w:i w:val="0"/>
                <w:sz w:val="19"/>
                <w:highlight w:val="yellow"/>
              </w:rPr>
              <w:t>[30]</w:t>
            </w:r>
            <w:r>
              <w:rPr>
                <w:b w:val="0"/>
                <w:i w:val="0"/>
                <w:sz w:val="19"/>
              </w:rPr>
              <w:t xml:space="preserve"> %</w:t>
            </w:r>
          </w:p>
        </w:tc>
        <w:tc>
          <w:tcPr>
            <w:tcW w:type="dxa" w:w="5556"/>
          </w:tcPr>
          <w:p>
            <w:r/>
            <w:r>
              <w:rPr>
                <w:b w:val="0"/>
                <w:i w:val="0"/>
                <w:sz w:val="19"/>
              </w:rPr>
              <w:t>Lieu et délai d'effacement, niveau appliqué par type de support, contenu du certificat, sort des supports non effaçables, nombre d'intermédiaires.</w:t>
            </w:r>
          </w:p>
        </w:tc>
      </w:tr>
      <w:tr>
        <w:tc>
          <w:tcPr>
            <w:tcW w:type="dxa" w:w="2381"/>
          </w:tcPr>
          <w:p>
            <w:r/>
            <w:r>
              <w:rPr>
                <w:b w:val="0"/>
                <w:i w:val="0"/>
                <w:sz w:val="19"/>
              </w:rPr>
              <w:t>3. Réemploi et traçabilité</w:t>
            </w:r>
          </w:p>
        </w:tc>
        <w:tc>
          <w:tcPr>
            <w:tcW w:type="dxa" w:w="1361"/>
          </w:tcPr>
          <w:p>
            <w:r/>
            <w:r>
              <w:rPr>
                <w:b w:val="0"/>
                <w:i w:val="0"/>
                <w:sz w:val="19"/>
                <w:highlight w:val="yellow"/>
              </w:rPr>
              <w:t>[20]</w:t>
            </w:r>
            <w:r>
              <w:rPr>
                <w:b w:val="0"/>
                <w:i w:val="0"/>
                <w:sz w:val="19"/>
              </w:rPr>
              <w:t xml:space="preserve"> %</w:t>
            </w:r>
          </w:p>
        </w:tc>
        <w:tc>
          <w:tcPr>
            <w:tcW w:type="dxa" w:w="5556"/>
          </w:tcPr>
          <w:p>
            <w:r/>
            <w:r>
              <w:rPr>
                <w:b w:val="0"/>
                <w:i w:val="0"/>
                <w:sz w:val="19"/>
              </w:rPr>
              <w:t>Part de réemploi visée et moyens de la justifier, bilan par numéro de série, chaîne de contrôle, filière DEEE.</w:t>
            </w:r>
          </w:p>
        </w:tc>
      </w:tr>
      <w:tr>
        <w:tc>
          <w:tcPr>
            <w:tcW w:type="dxa" w:w="2381"/>
          </w:tcPr>
          <w:p>
            <w:r/>
            <w:r>
              <w:rPr>
                <w:b w:val="0"/>
                <w:i w:val="0"/>
                <w:sz w:val="19"/>
              </w:rPr>
              <w:t>4. Délais et logistique</w:t>
            </w:r>
          </w:p>
        </w:tc>
        <w:tc>
          <w:tcPr>
            <w:tcW w:type="dxa" w:w="1361"/>
          </w:tcPr>
          <w:p>
            <w:r/>
            <w:r>
              <w:rPr>
                <w:b w:val="0"/>
                <w:i w:val="0"/>
                <w:sz w:val="19"/>
                <w:highlight w:val="yellow"/>
              </w:rPr>
              <w:t>[10]</w:t>
            </w:r>
            <w:r>
              <w:rPr>
                <w:b w:val="0"/>
                <w:i w:val="0"/>
                <w:sz w:val="19"/>
              </w:rPr>
              <w:t xml:space="preserve"> %</w:t>
            </w:r>
          </w:p>
        </w:tc>
        <w:tc>
          <w:tcPr>
            <w:tcW w:type="dxa" w:w="5556"/>
          </w:tcPr>
          <w:p>
            <w:r/>
            <w:r>
              <w:rPr>
                <w:b w:val="0"/>
                <w:i w:val="0"/>
                <w:sz w:val="19"/>
              </w:rPr>
              <w:t>Planning d'enlèvement, délais de remise des livrables et de paiement.</w:t>
            </w:r>
          </w:p>
        </w:tc>
      </w:tr>
      <w:tr>
        <w:tc>
          <w:tcPr>
            <w:tcW w:type="dxa" w:w="2381"/>
          </w:tcPr>
          <w:p>
            <w:r/>
            <w:r>
              <w:rPr>
                <w:b w:val="0"/>
                <w:i w:val="0"/>
                <w:sz w:val="19"/>
              </w:rPr>
              <w:t xml:space="preserve">5. </w:t>
            </w:r>
            <w:r>
              <w:rPr>
                <w:b w:val="0"/>
                <w:i w:val="0"/>
                <w:sz w:val="19"/>
                <w:highlight w:val="yellow"/>
              </w:rPr>
              <w:t>[Engagement social]</w:t>
            </w:r>
          </w:p>
        </w:tc>
        <w:tc>
          <w:tcPr>
            <w:tcW w:type="dxa" w:w="1361"/>
          </w:tcPr>
          <w:p>
            <w:r/>
            <w:r>
              <w:rPr>
                <w:b w:val="0"/>
                <w:i w:val="0"/>
                <w:sz w:val="19"/>
                <w:highlight w:val="yellow"/>
              </w:rPr>
              <w:t>[5]</w:t>
            </w:r>
            <w:r>
              <w:rPr>
                <w:b w:val="0"/>
                <w:i w:val="0"/>
                <w:sz w:val="19"/>
              </w:rPr>
              <w:t xml:space="preserve"> %</w:t>
            </w:r>
          </w:p>
        </w:tc>
        <w:tc>
          <w:tcPr>
            <w:tcW w:type="dxa" w:w="5556"/>
          </w:tcPr>
          <w:p>
            <w:r/>
            <w:r>
              <w:rPr>
                <w:b w:val="0"/>
                <w:i w:val="0"/>
                <w:sz w:val="19"/>
                <w:highlight w:val="yellow"/>
              </w:rPr>
              <w:t>[Recours à des structures d'insertion ou de réemploi solidaire.]</w:t>
            </w:r>
          </w:p>
        </w:tc>
      </w:tr>
    </w:tbl>
    <w:p>
      <w:pPr>
        <w:spacing w:after="40"/>
      </w:pPr>
    </w:p>
    <w:p>
      <w:pPr>
        <w:tabs>
          <w:tab w:pos="624" w:val="left"/>
        </w:tabs>
        <w:ind w:left="624" w:hanging="624"/>
      </w:pPr>
      <w:r>
        <w:rPr>
          <w:b/>
        </w:rPr>
        <w:t>17.3</w:t>
        <w:tab/>
      </w:r>
      <w:r>
        <w:rPr>
          <w:b w:val="0"/>
          <w:i w:val="0"/>
        </w:rPr>
        <w:t xml:space="preserve">Les critères 2 à 5 sont notés sur </w:t>
      </w:r>
      <w:r>
        <w:rPr>
          <w:b w:val="0"/>
          <w:i w:val="0"/>
          <w:highlight w:val="yellow"/>
        </w:rPr>
        <w:t>[10]</w:t>
      </w:r>
      <w:r>
        <w:rPr>
          <w:b w:val="0"/>
          <w:i w:val="0"/>
        </w:rPr>
        <w:t xml:space="preserve"> : </w:t>
      </w:r>
      <w:r>
        <w:rPr>
          <w:b w:val="0"/>
          <w:i w:val="0"/>
          <w:highlight w:val="yellow"/>
        </w:rPr>
        <w:t>[0 : élément absent ; 3 : réponse insuffisante ; 6 : réponse conforme ; 10 : réponse qui dépasse les exigences]</w:t>
      </w:r>
      <w:r>
        <w:rPr>
          <w:b w:val="0"/>
          <w:i w:val="0"/>
        </w:rPr>
        <w:t>.</w:t>
      </w:r>
    </w:p>
    <w:p>
      <w:pPr>
        <w:ind w:left="624"/>
      </w:pPr>
      <w:r>
        <w:rPr>
          <w:b/>
          <w:i/>
          <w:color w:val="5F6673"/>
          <w:sz w:val="19"/>
        </w:rPr>
        <w:t xml:space="preserve">Note : </w:t>
      </w:r>
      <w:r>
        <w:rPr>
          <w:b w:val="0"/>
          <w:i/>
          <w:color w:val="5F6673"/>
          <w:sz w:val="19"/>
        </w:rPr>
        <w:t>Ajustez les pondérations à la sensibilité des données. Pour un marché public, les critères et leurs modalités de mise en œuvre figurent dans les documents de la consultation (Code de la commande publique, article R2152-11) ; en procédure formalisée, ils sont pondérés (article R2152-12). Depuis le 22 août 2026, au moins un critère d'attribution prend en compte les caractéristiques environnementales de l'offre (article L2152-7) : le critère 3 y répond.</w:t>
      </w:r>
    </w:p>
    <w:p>
      <w:pPr>
        <w:pStyle w:val="Heading1"/>
      </w:pPr>
      <w:r>
        <w:t>Article 18. Confidentialité, durée et documents contractuels</w:t>
      </w:r>
    </w:p>
    <w:p>
      <w:pPr>
        <w:tabs>
          <w:tab w:pos="624" w:val="left"/>
        </w:tabs>
        <w:ind w:left="624" w:hanging="624"/>
      </w:pPr>
      <w:r>
        <w:rPr>
          <w:b/>
        </w:rPr>
        <w:t>18.1</w:t>
        <w:tab/>
      </w:r>
      <w:r>
        <w:rPr>
          <w:b w:val="0"/>
          <w:i w:val="0"/>
        </w:rPr>
        <w:t xml:space="preserve">Le Repreneur garde confidentielles les informations relatives au Cédant et à son matériel, pendant la prestation et </w:t>
      </w:r>
      <w:r>
        <w:rPr>
          <w:b w:val="0"/>
          <w:i w:val="0"/>
          <w:highlight w:val="yellow"/>
        </w:rPr>
        <w:t>[nombre]</w:t>
      </w:r>
      <w:r>
        <w:rPr>
          <w:b w:val="0"/>
          <w:i w:val="0"/>
        </w:rPr>
        <w:t xml:space="preserve"> ans après son terme.</w:t>
      </w:r>
    </w:p>
    <w:p>
      <w:pPr>
        <w:tabs>
          <w:tab w:pos="624" w:val="left"/>
        </w:tabs>
        <w:ind w:left="624" w:hanging="624"/>
      </w:pPr>
      <w:r>
        <w:rPr>
          <w:b/>
        </w:rPr>
        <w:t>18.2</w:t>
        <w:tab/>
      </w:r>
      <w:r>
        <w:rPr>
          <w:b w:val="0"/>
          <w:i w:val="0"/>
        </w:rPr>
        <w:t xml:space="preserve">Le contrat prend effet à </w:t>
      </w:r>
      <w:r>
        <w:rPr>
          <w:b w:val="0"/>
          <w:i w:val="0"/>
          <w:highlight w:val="yellow"/>
        </w:rPr>
        <w:t>[sa signature / sa notification]</w:t>
      </w:r>
      <w:r>
        <w:rPr>
          <w:b w:val="0"/>
          <w:i w:val="0"/>
        </w:rPr>
        <w:t xml:space="preserve"> et prend fin à la remise de l'attestation de cession </w:t>
      </w:r>
      <w:r>
        <w:rPr>
          <w:b w:val="0"/>
          <w:i w:val="0"/>
          <w:highlight w:val="yellow"/>
        </w:rPr>
        <w:t>[ou au terme de la durée fixée à l'article 1.3]</w:t>
      </w:r>
      <w:r>
        <w:rPr>
          <w:b w:val="0"/>
          <w:i w:val="0"/>
        </w:rPr>
        <w:t>.</w:t>
      </w:r>
    </w:p>
    <w:p>
      <w:pPr>
        <w:tabs>
          <w:tab w:pos="624" w:val="left"/>
        </w:tabs>
        <w:ind w:left="624" w:hanging="624"/>
      </w:pPr>
      <w:r>
        <w:rPr>
          <w:b/>
        </w:rPr>
        <w:t>18.3</w:t>
        <w:tab/>
      </w:r>
      <w:r>
        <w:rPr>
          <w:b w:val="0"/>
          <w:i w:val="0"/>
        </w:rPr>
        <w:t>Les documents contractuels sont, par ordre de priorité décroissante :</w:t>
      </w:r>
    </w:p>
    <w:p>
      <w:pPr>
        <w:spacing w:after="40"/>
        <w:ind w:left="964" w:hanging="283"/>
      </w:pPr>
      <w:r>
        <w:rPr>
          <w:b w:val="0"/>
          <w:i w:val="0"/>
        </w:rPr>
        <w:t xml:space="preserve">a) </w:t>
      </w:r>
      <w:r>
        <w:rPr>
          <w:b w:val="0"/>
          <w:i w:val="0"/>
          <w:highlight w:val="yellow"/>
        </w:rPr>
        <w:t>[l'acte d'engagement ou le contrat]</w:t>
      </w:r>
      <w:r>
        <w:rPr>
          <w:b w:val="0"/>
          <w:i w:val="0"/>
        </w:rPr>
        <w:t xml:space="preserve"> ;</w:t>
      </w:r>
    </w:p>
    <w:p>
      <w:pPr>
        <w:spacing w:after="40"/>
        <w:ind w:left="964" w:hanging="283"/>
      </w:pPr>
      <w:r>
        <w:rPr>
          <w:b w:val="0"/>
          <w:i w:val="0"/>
        </w:rPr>
        <w:t>b) le présent cahier des charges et ses annexes ;</w:t>
      </w:r>
    </w:p>
    <w:p>
      <w:pPr>
        <w:spacing w:after="40"/>
        <w:ind w:left="964" w:hanging="283"/>
      </w:pPr>
      <w:r>
        <w:rPr>
          <w:b w:val="0"/>
          <w:i w:val="0"/>
        </w:rPr>
        <w:t>c) l'accord de sous-traitance (annexe 3) ;</w:t>
      </w:r>
    </w:p>
    <w:p>
      <w:pPr>
        <w:spacing w:after="40"/>
        <w:ind w:left="964" w:hanging="283"/>
      </w:pPr>
      <w:r>
        <w:rPr>
          <w:b w:val="0"/>
          <w:i w:val="0"/>
        </w:rPr>
        <w:t>d) l'offre du Repreneur ;</w:t>
      </w:r>
    </w:p>
    <w:p>
      <w:pPr>
        <w:spacing w:after="40"/>
        <w:ind w:left="964" w:hanging="283"/>
      </w:pPr>
      <w:r>
        <w:rPr>
          <w:b w:val="0"/>
          <w:i w:val="0"/>
        </w:rPr>
        <w:t xml:space="preserve">e) </w:t>
      </w:r>
      <w:r>
        <w:rPr>
          <w:b w:val="0"/>
          <w:i w:val="0"/>
          <w:highlight w:val="yellow"/>
        </w:rPr>
        <w:t>[pour un marché public qui s'y réfère : le cahier des clauses administratives générales retenu]</w:t>
      </w:r>
      <w:r>
        <w:rPr>
          <w:b w:val="0"/>
          <w:i w:val="0"/>
        </w:rPr>
        <w:t>.</w:t>
      </w:r>
    </w:p>
    <w:p/>
    <w:p>
      <w:r>
        <w:rPr>
          <w:b w:val="0"/>
          <w:i w:val="0"/>
        </w:rPr>
        <w:t xml:space="preserve">Fait à </w:t>
      </w:r>
      <w:r>
        <w:rPr>
          <w:b w:val="0"/>
          <w:i w:val="0"/>
          <w:highlight w:val="yellow"/>
        </w:rPr>
        <w:t>[ville]</w:t>
      </w:r>
      <w:r>
        <w:rPr>
          <w:b w:val="0"/>
          <w:i w:val="0"/>
        </w:rPr>
        <w:t xml:space="preserve">, le </w:t>
      </w:r>
      <w:r>
        <w:rPr>
          <w:b w:val="0"/>
          <w:i w:val="0"/>
          <w:highlight w:val="yellow"/>
        </w:rPr>
        <w:t>[date]</w:t>
      </w:r>
      <w:r>
        <w:rPr>
          <w:b w:val="0"/>
          <w:i w:val="0"/>
        </w:rPr>
        <w:t>.</w:t>
      </w:r>
    </w:p>
    <w:p>
      <w:r>
        <w:rPr>
          <w:b w:val="0"/>
          <w:i w:val="0"/>
        </w:rPr>
        <w:t xml:space="preserve">Pour le Cédant : </w:t>
      </w:r>
      <w:r>
        <w:rPr>
          <w:b w:val="0"/>
          <w:i w:val="0"/>
          <w:highlight w:val="yellow"/>
        </w:rPr>
        <w:t>[nom, fonction, signature]</w:t>
      </w:r>
    </w:p>
    <w:p>
      <w:r>
        <w:br w:type="page"/>
      </w:r>
    </w:p>
    <w:p>
      <w:pPr>
        <w:pStyle w:val="Heading1"/>
      </w:pPr>
      <w:r>
        <w:t>Annexe 1. Inventaire du matériel</w:t>
      </w:r>
    </w:p>
    <w:p>
      <w:r>
        <w:rPr>
          <w:b w:val="0"/>
          <w:i w:val="0"/>
        </w:rPr>
        <w:t>Une ligne par équipement. Le numéro de série permet de rattacher chaque équipement à son certificat d'effacement et à son devenir.</w:t>
      </w:r>
    </w:p>
    <w:tbl>
      <w:tblPr>
        <w:tblStyle w:val="TableGrid"/>
        <w:tblW w:type="auto" w:w="0"/>
        <w:jc w:val="center"/>
        <w:tblLook w:firstColumn="1" w:firstRow="1" w:lastColumn="0" w:lastRow="0" w:noHBand="0" w:noVBand="1" w:val="04A0"/>
      </w:tblPr>
      <w:tblGrid>
        <w:gridCol w:w="963"/>
        <w:gridCol w:w="963"/>
        <w:gridCol w:w="963"/>
        <w:gridCol w:w="963"/>
        <w:gridCol w:w="963"/>
        <w:gridCol w:w="963"/>
        <w:gridCol w:w="963"/>
        <w:gridCol w:w="963"/>
        <w:gridCol w:w="963"/>
        <w:gridCol w:w="963"/>
      </w:tblGrid>
      <w:tr>
        <w:trPr>
          <w:tblHeader w:val="true"/>
        </w:trPr>
        <w:tc>
          <w:tcPr>
            <w:tcW w:type="dxa" w:w="454"/>
            <w:shd w:val="clear" w:color="auto" w:fill="E7EAF0"/>
          </w:tcPr>
          <w:p>
            <w:r/>
            <w:r>
              <w:rPr>
                <w:b/>
                <w:i w:val="0"/>
                <w:sz w:val="16"/>
              </w:rPr>
              <w:t>N°</w:t>
            </w:r>
          </w:p>
        </w:tc>
        <w:tc>
          <w:tcPr>
            <w:tcW w:type="dxa" w:w="850"/>
            <w:shd w:val="clear" w:color="auto" w:fill="E7EAF0"/>
          </w:tcPr>
          <w:p>
            <w:r/>
            <w:r>
              <w:rPr>
                <w:b/>
                <w:i w:val="0"/>
                <w:sz w:val="16"/>
              </w:rPr>
              <w:t>Type</w:t>
            </w:r>
          </w:p>
        </w:tc>
        <w:tc>
          <w:tcPr>
            <w:tcW w:type="dxa" w:w="1134"/>
            <w:shd w:val="clear" w:color="auto" w:fill="E7EAF0"/>
          </w:tcPr>
          <w:p>
            <w:r/>
            <w:r>
              <w:rPr>
                <w:b/>
                <w:i w:val="0"/>
                <w:sz w:val="16"/>
              </w:rPr>
              <w:t>Marque et modèle</w:t>
            </w:r>
          </w:p>
        </w:tc>
        <w:tc>
          <w:tcPr>
            <w:tcW w:type="dxa" w:w="1134"/>
            <w:shd w:val="clear" w:color="auto" w:fill="E7EAF0"/>
          </w:tcPr>
          <w:p>
            <w:r/>
            <w:r>
              <w:rPr>
                <w:b/>
                <w:i w:val="0"/>
                <w:sz w:val="16"/>
              </w:rPr>
              <w:t>Numéro de série</w:t>
            </w:r>
          </w:p>
        </w:tc>
        <w:tc>
          <w:tcPr>
            <w:tcW w:type="dxa" w:w="850"/>
            <w:shd w:val="clear" w:color="auto" w:fill="E7EAF0"/>
          </w:tcPr>
          <w:p>
            <w:r/>
            <w:r>
              <w:rPr>
                <w:b/>
                <w:i w:val="0"/>
                <w:sz w:val="16"/>
              </w:rPr>
              <w:t>N° d'immobil.</w:t>
            </w:r>
          </w:p>
        </w:tc>
        <w:tc>
          <w:tcPr>
            <w:tcW w:type="dxa" w:w="964"/>
            <w:shd w:val="clear" w:color="auto" w:fill="E7EAF0"/>
          </w:tcPr>
          <w:p>
            <w:r/>
            <w:r>
              <w:rPr>
                <w:b/>
                <w:i w:val="0"/>
                <w:sz w:val="16"/>
              </w:rPr>
              <w:t>Processeur</w:t>
            </w:r>
          </w:p>
        </w:tc>
        <w:tc>
          <w:tcPr>
            <w:tcW w:type="dxa" w:w="1077"/>
            <w:shd w:val="clear" w:color="auto" w:fill="E7EAF0"/>
          </w:tcPr>
          <w:p>
            <w:r/>
            <w:r>
              <w:rPr>
                <w:b/>
                <w:i w:val="0"/>
                <w:sz w:val="16"/>
              </w:rPr>
              <w:t>Mémoire et stockage</w:t>
            </w:r>
          </w:p>
        </w:tc>
        <w:tc>
          <w:tcPr>
            <w:tcW w:type="dxa" w:w="907"/>
            <w:shd w:val="clear" w:color="auto" w:fill="E7EAF0"/>
          </w:tcPr>
          <w:p>
            <w:r/>
            <w:r>
              <w:rPr>
                <w:b/>
                <w:i w:val="0"/>
                <w:sz w:val="16"/>
              </w:rPr>
              <w:t>État déclaré</w:t>
            </w:r>
          </w:p>
        </w:tc>
        <w:tc>
          <w:tcPr>
            <w:tcW w:type="dxa" w:w="1020"/>
            <w:shd w:val="clear" w:color="auto" w:fill="E7EAF0"/>
          </w:tcPr>
          <w:p>
            <w:r/>
            <w:r>
              <w:rPr>
                <w:b/>
                <w:i w:val="0"/>
                <w:sz w:val="16"/>
              </w:rPr>
              <w:t>Verrous connus</w:t>
            </w:r>
          </w:p>
        </w:tc>
        <w:tc>
          <w:tcPr>
            <w:tcW w:type="dxa" w:w="794"/>
            <w:shd w:val="clear" w:color="auto" w:fill="E7EAF0"/>
          </w:tcPr>
          <w:p>
            <w:r/>
            <w:r>
              <w:rPr>
                <w:b/>
                <w:i w:val="0"/>
                <w:sz w:val="16"/>
              </w:rPr>
              <w:t>Site</w:t>
            </w:r>
          </w:p>
        </w:tc>
      </w:tr>
      <w:tr>
        <w:tc>
          <w:tcPr>
            <w:tcW w:type="dxa" w:w="454"/>
          </w:tcPr>
          <w:p>
            <w:r/>
            <w:r>
              <w:rPr>
                <w:b w:val="0"/>
                <w:i w:val="0"/>
                <w:sz w:val="16"/>
              </w:rPr>
              <w:t>1</w:t>
            </w:r>
          </w:p>
        </w:tc>
        <w:tc>
          <w:tcPr>
            <w:tcW w:type="dxa" w:w="850"/>
          </w:tcPr>
          <w:p>
            <w:r/>
            <w:r>
              <w:rPr>
                <w:b w:val="0"/>
                <w:i w:val="0"/>
                <w:sz w:val="16"/>
                <w:highlight w:val="yellow"/>
              </w:rPr>
              <w:t>[Portable]</w:t>
            </w:r>
          </w:p>
        </w:tc>
        <w:tc>
          <w:tcPr>
            <w:tcW w:type="dxa" w:w="1134"/>
          </w:tcPr>
          <w:p>
            <w:r/>
            <w:r>
              <w:rPr>
                <w:b w:val="0"/>
                <w:i w:val="0"/>
                <w:sz w:val="16"/>
                <w:highlight w:val="yellow"/>
              </w:rPr>
              <w:t>[ ]</w:t>
            </w:r>
          </w:p>
        </w:tc>
        <w:tc>
          <w:tcPr>
            <w:tcW w:type="dxa" w:w="1134"/>
          </w:tcPr>
          <w:p>
            <w:r/>
            <w:r>
              <w:rPr>
                <w:b w:val="0"/>
                <w:i w:val="0"/>
                <w:sz w:val="16"/>
                <w:highlight w:val="yellow"/>
              </w:rPr>
              <w:t>[ ]</w:t>
            </w:r>
          </w:p>
        </w:tc>
        <w:tc>
          <w:tcPr>
            <w:tcW w:type="dxa" w:w="850"/>
          </w:tcPr>
          <w:p>
            <w:r/>
            <w:r>
              <w:rPr>
                <w:b w:val="0"/>
                <w:i w:val="0"/>
                <w:sz w:val="16"/>
                <w:highlight w:val="yellow"/>
              </w:rPr>
              <w:t>[ ]</w:t>
            </w:r>
          </w:p>
        </w:tc>
        <w:tc>
          <w:tcPr>
            <w:tcW w:type="dxa" w:w="964"/>
          </w:tcPr>
          <w:p>
            <w:r/>
            <w:r>
              <w:rPr>
                <w:b w:val="0"/>
                <w:i w:val="0"/>
                <w:sz w:val="16"/>
                <w:highlight w:val="yellow"/>
              </w:rPr>
              <w:t>[ ]</w:t>
            </w:r>
          </w:p>
        </w:tc>
        <w:tc>
          <w:tcPr>
            <w:tcW w:type="dxa" w:w="1077"/>
          </w:tcPr>
          <w:p>
            <w:r/>
            <w:r>
              <w:rPr>
                <w:b w:val="0"/>
                <w:i w:val="0"/>
                <w:sz w:val="16"/>
                <w:highlight w:val="yellow"/>
              </w:rPr>
              <w:t>[Go, type et capacité]</w:t>
            </w:r>
          </w:p>
        </w:tc>
        <w:tc>
          <w:tcPr>
            <w:tcW w:type="dxa" w:w="907"/>
          </w:tcPr>
          <w:p>
            <w:r/>
            <w:r>
              <w:rPr>
                <w:b w:val="0"/>
                <w:i w:val="0"/>
                <w:sz w:val="16"/>
                <w:highlight w:val="yellow"/>
              </w:rPr>
              <w:t>[ ]</w:t>
            </w:r>
          </w:p>
        </w:tc>
        <w:tc>
          <w:tcPr>
            <w:tcW w:type="dxa" w:w="1020"/>
          </w:tcPr>
          <w:p>
            <w:r/>
            <w:r>
              <w:rPr>
                <w:b w:val="0"/>
                <w:i w:val="0"/>
                <w:sz w:val="16"/>
                <w:highlight w:val="yellow"/>
              </w:rPr>
              <w:t>[BIOS, MDM, aucun]</w:t>
            </w:r>
          </w:p>
        </w:tc>
        <w:tc>
          <w:tcPr>
            <w:tcW w:type="dxa" w:w="794"/>
          </w:tcPr>
          <w:p>
            <w:r/>
            <w:r>
              <w:rPr>
                <w:b w:val="0"/>
                <w:i w:val="0"/>
                <w:sz w:val="16"/>
                <w:highlight w:val="yellow"/>
              </w:rPr>
              <w:t>[ ]</w:t>
            </w:r>
          </w:p>
        </w:tc>
      </w:tr>
      <w:tr>
        <w:tc>
          <w:tcPr>
            <w:tcW w:type="dxa" w:w="454"/>
          </w:tcPr>
          <w:p>
            <w:r/>
            <w:r>
              <w:rPr>
                <w:b w:val="0"/>
                <w:i w:val="0"/>
                <w:sz w:val="16"/>
              </w:rPr>
              <w:t>2</w:t>
            </w:r>
          </w:p>
        </w:tc>
        <w:tc>
          <w:tcPr>
            <w:tcW w:type="dxa" w:w="850"/>
          </w:tcPr>
          <w:p>
            <w:r/>
            <w:r>
              <w:rPr>
                <w:b w:val="0"/>
                <w:i w:val="0"/>
                <w:sz w:val="16"/>
                <w:highlight w:val="yellow"/>
              </w:rPr>
              <w:t>[ ]</w:t>
            </w:r>
          </w:p>
        </w:tc>
        <w:tc>
          <w:tcPr>
            <w:tcW w:type="dxa" w:w="1134"/>
          </w:tcPr>
          <w:p>
            <w:r/>
            <w:r>
              <w:rPr>
                <w:b w:val="0"/>
                <w:i w:val="0"/>
                <w:sz w:val="16"/>
                <w:highlight w:val="yellow"/>
              </w:rPr>
              <w:t>[ ]</w:t>
            </w:r>
          </w:p>
        </w:tc>
        <w:tc>
          <w:tcPr>
            <w:tcW w:type="dxa" w:w="1134"/>
          </w:tcPr>
          <w:p>
            <w:r/>
            <w:r>
              <w:rPr>
                <w:b w:val="0"/>
                <w:i w:val="0"/>
                <w:sz w:val="16"/>
                <w:highlight w:val="yellow"/>
              </w:rPr>
              <w:t>[ ]</w:t>
            </w:r>
          </w:p>
        </w:tc>
        <w:tc>
          <w:tcPr>
            <w:tcW w:type="dxa" w:w="850"/>
          </w:tcPr>
          <w:p>
            <w:r/>
            <w:r>
              <w:rPr>
                <w:b w:val="0"/>
                <w:i w:val="0"/>
                <w:sz w:val="16"/>
                <w:highlight w:val="yellow"/>
              </w:rPr>
              <w:t>[ ]</w:t>
            </w:r>
          </w:p>
        </w:tc>
        <w:tc>
          <w:tcPr>
            <w:tcW w:type="dxa" w:w="964"/>
          </w:tcPr>
          <w:p>
            <w:r/>
            <w:r>
              <w:rPr>
                <w:b w:val="0"/>
                <w:i w:val="0"/>
                <w:sz w:val="16"/>
                <w:highlight w:val="yellow"/>
              </w:rPr>
              <w:t>[ ]</w:t>
            </w:r>
          </w:p>
        </w:tc>
        <w:tc>
          <w:tcPr>
            <w:tcW w:type="dxa" w:w="1077"/>
          </w:tcPr>
          <w:p>
            <w:r/>
            <w:r>
              <w:rPr>
                <w:b w:val="0"/>
                <w:i w:val="0"/>
                <w:sz w:val="16"/>
                <w:highlight w:val="yellow"/>
              </w:rPr>
              <w:t>[ ]</w:t>
            </w:r>
          </w:p>
        </w:tc>
        <w:tc>
          <w:tcPr>
            <w:tcW w:type="dxa" w:w="907"/>
          </w:tcPr>
          <w:p>
            <w:r/>
            <w:r>
              <w:rPr>
                <w:b w:val="0"/>
                <w:i w:val="0"/>
                <w:sz w:val="16"/>
                <w:highlight w:val="yellow"/>
              </w:rPr>
              <w:t>[ ]</w:t>
            </w:r>
          </w:p>
        </w:tc>
        <w:tc>
          <w:tcPr>
            <w:tcW w:type="dxa" w:w="1020"/>
          </w:tcPr>
          <w:p>
            <w:r/>
            <w:r>
              <w:rPr>
                <w:b w:val="0"/>
                <w:i w:val="0"/>
                <w:sz w:val="16"/>
                <w:highlight w:val="yellow"/>
              </w:rPr>
              <w:t>[ ]</w:t>
            </w:r>
          </w:p>
        </w:tc>
        <w:tc>
          <w:tcPr>
            <w:tcW w:type="dxa" w:w="794"/>
          </w:tcPr>
          <w:p>
            <w:r/>
            <w:r>
              <w:rPr>
                <w:b w:val="0"/>
                <w:i w:val="0"/>
                <w:sz w:val="16"/>
                <w:highlight w:val="yellow"/>
              </w:rPr>
              <w:t>[ ]</w:t>
            </w:r>
          </w:p>
        </w:tc>
      </w:tr>
      <w:tr>
        <w:tc>
          <w:tcPr>
            <w:tcW w:type="dxa" w:w="454"/>
          </w:tcPr>
          <w:p>
            <w:r/>
            <w:r>
              <w:rPr>
                <w:b w:val="0"/>
                <w:i w:val="0"/>
                <w:sz w:val="16"/>
              </w:rPr>
              <w:t>3</w:t>
            </w:r>
          </w:p>
        </w:tc>
        <w:tc>
          <w:tcPr>
            <w:tcW w:type="dxa" w:w="850"/>
          </w:tcPr>
          <w:p>
            <w:r/>
            <w:r>
              <w:rPr>
                <w:b w:val="0"/>
                <w:i w:val="0"/>
                <w:sz w:val="16"/>
                <w:highlight w:val="yellow"/>
              </w:rPr>
              <w:t>[ ]</w:t>
            </w:r>
          </w:p>
        </w:tc>
        <w:tc>
          <w:tcPr>
            <w:tcW w:type="dxa" w:w="1134"/>
          </w:tcPr>
          <w:p>
            <w:r/>
            <w:r>
              <w:rPr>
                <w:b w:val="0"/>
                <w:i w:val="0"/>
                <w:sz w:val="16"/>
                <w:highlight w:val="yellow"/>
              </w:rPr>
              <w:t>[ ]</w:t>
            </w:r>
          </w:p>
        </w:tc>
        <w:tc>
          <w:tcPr>
            <w:tcW w:type="dxa" w:w="1134"/>
          </w:tcPr>
          <w:p>
            <w:r/>
            <w:r>
              <w:rPr>
                <w:b w:val="0"/>
                <w:i w:val="0"/>
                <w:sz w:val="16"/>
                <w:highlight w:val="yellow"/>
              </w:rPr>
              <w:t>[ ]</w:t>
            </w:r>
          </w:p>
        </w:tc>
        <w:tc>
          <w:tcPr>
            <w:tcW w:type="dxa" w:w="850"/>
          </w:tcPr>
          <w:p>
            <w:r/>
            <w:r>
              <w:rPr>
                <w:b w:val="0"/>
                <w:i w:val="0"/>
                <w:sz w:val="16"/>
                <w:highlight w:val="yellow"/>
              </w:rPr>
              <w:t>[ ]</w:t>
            </w:r>
          </w:p>
        </w:tc>
        <w:tc>
          <w:tcPr>
            <w:tcW w:type="dxa" w:w="964"/>
          </w:tcPr>
          <w:p>
            <w:r/>
            <w:r>
              <w:rPr>
                <w:b w:val="0"/>
                <w:i w:val="0"/>
                <w:sz w:val="16"/>
                <w:highlight w:val="yellow"/>
              </w:rPr>
              <w:t>[ ]</w:t>
            </w:r>
          </w:p>
        </w:tc>
        <w:tc>
          <w:tcPr>
            <w:tcW w:type="dxa" w:w="1077"/>
          </w:tcPr>
          <w:p>
            <w:r/>
            <w:r>
              <w:rPr>
                <w:b w:val="0"/>
                <w:i w:val="0"/>
                <w:sz w:val="16"/>
                <w:highlight w:val="yellow"/>
              </w:rPr>
              <w:t>[ ]</w:t>
            </w:r>
          </w:p>
        </w:tc>
        <w:tc>
          <w:tcPr>
            <w:tcW w:type="dxa" w:w="907"/>
          </w:tcPr>
          <w:p>
            <w:r/>
            <w:r>
              <w:rPr>
                <w:b w:val="0"/>
                <w:i w:val="0"/>
                <w:sz w:val="16"/>
                <w:highlight w:val="yellow"/>
              </w:rPr>
              <w:t>[ ]</w:t>
            </w:r>
          </w:p>
        </w:tc>
        <w:tc>
          <w:tcPr>
            <w:tcW w:type="dxa" w:w="1020"/>
          </w:tcPr>
          <w:p>
            <w:r/>
            <w:r>
              <w:rPr>
                <w:b w:val="0"/>
                <w:i w:val="0"/>
                <w:sz w:val="16"/>
                <w:highlight w:val="yellow"/>
              </w:rPr>
              <w:t>[ ]</w:t>
            </w:r>
          </w:p>
        </w:tc>
        <w:tc>
          <w:tcPr>
            <w:tcW w:type="dxa" w:w="794"/>
          </w:tcPr>
          <w:p>
            <w:r/>
            <w:r>
              <w:rPr>
                <w:b w:val="0"/>
                <w:i w:val="0"/>
                <w:sz w:val="16"/>
                <w:highlight w:val="yellow"/>
              </w:rPr>
              <w:t>[ ]</w:t>
            </w:r>
          </w:p>
        </w:tc>
      </w:tr>
    </w:tbl>
    <w:p>
      <w:pPr>
        <w:spacing w:after="40"/>
      </w:pPr>
    </w:p>
    <w:p>
      <w:pPr>
        <w:ind w:left="624"/>
      </w:pPr>
      <w:r>
        <w:rPr>
          <w:b/>
          <w:i/>
          <w:color w:val="5F6673"/>
          <w:sz w:val="19"/>
        </w:rPr>
        <w:t xml:space="preserve">Note : </w:t>
      </w:r>
      <w:r>
        <w:rPr>
          <w:b w:val="0"/>
          <w:i/>
          <w:color w:val="5F6673"/>
          <w:sz w:val="19"/>
        </w:rPr>
        <w:t>L'inventaire peut être remplacé par un export de votre outil de gestion de parc, à condition de conserver une ligne par équipement et ces colonnes. Ne transmettez pas le nom des utilisateurs : il n'est pas utile à la cotation.</w:t>
      </w:r>
    </w:p>
    <w:p>
      <w:pPr>
        <w:pStyle w:val="Heading1"/>
      </w:pPr>
      <w:r>
        <w:t>Annexe 2. Bordereau des prix</w:t>
      </w:r>
    </w:p>
    <w:p>
      <w:r>
        <w:rPr>
          <w:b w:val="0"/>
          <w:i w:val="0"/>
        </w:rPr>
        <w:t>Prix hors taxes. Le candidat détaille ses catégories (par exemple par génération de processeur) et ses états, et joint sa grille d'ajustement.</w:t>
      </w:r>
    </w:p>
    <w:tbl>
      <w:tblPr>
        <w:tblStyle w:val="TableGrid"/>
        <w:tblW w:type="auto" w:w="0"/>
        <w:jc w:val="center"/>
        <w:tblLook w:firstColumn="1" w:firstRow="1" w:lastColumn="0" w:lastRow="0" w:noHBand="0" w:noVBand="1" w:val="04A0"/>
      </w:tblPr>
      <w:tblGrid>
        <w:gridCol w:w="1605"/>
        <w:gridCol w:w="1605"/>
        <w:gridCol w:w="1605"/>
        <w:gridCol w:w="1605"/>
        <w:gridCol w:w="1605"/>
        <w:gridCol w:w="1605"/>
      </w:tblGrid>
      <w:tr>
        <w:trPr>
          <w:tblHeader w:val="true"/>
        </w:trPr>
        <w:tc>
          <w:tcPr>
            <w:tcW w:type="dxa" w:w="737"/>
            <w:shd w:val="clear" w:color="auto" w:fill="E7EAF0"/>
          </w:tcPr>
          <w:p>
            <w:r/>
            <w:r>
              <w:rPr>
                <w:b/>
                <w:i w:val="0"/>
                <w:sz w:val="18"/>
              </w:rPr>
              <w:t>Lot</w:t>
            </w:r>
          </w:p>
        </w:tc>
        <w:tc>
          <w:tcPr>
            <w:tcW w:type="dxa" w:w="3175"/>
            <w:shd w:val="clear" w:color="auto" w:fill="E7EAF0"/>
          </w:tcPr>
          <w:p>
            <w:r/>
            <w:r>
              <w:rPr>
                <w:b/>
                <w:i w:val="0"/>
                <w:sz w:val="18"/>
              </w:rPr>
              <w:t>Catégorie d'équipement</w:t>
            </w:r>
          </w:p>
        </w:tc>
        <w:tc>
          <w:tcPr>
            <w:tcW w:type="dxa" w:w="1247"/>
            <w:shd w:val="clear" w:color="auto" w:fill="E7EAF0"/>
          </w:tcPr>
          <w:p>
            <w:r/>
            <w:r>
              <w:rPr>
                <w:b/>
                <w:i w:val="0"/>
                <w:sz w:val="18"/>
              </w:rPr>
              <w:t>État</w:t>
            </w:r>
          </w:p>
        </w:tc>
        <w:tc>
          <w:tcPr>
            <w:tcW w:type="dxa" w:w="1304"/>
            <w:shd w:val="clear" w:color="auto" w:fill="E7EAF0"/>
          </w:tcPr>
          <w:p>
            <w:r/>
            <w:r>
              <w:rPr>
                <w:b/>
                <w:i w:val="0"/>
                <w:sz w:val="18"/>
              </w:rPr>
              <w:t>Quantité estimée</w:t>
            </w:r>
          </w:p>
        </w:tc>
        <w:tc>
          <w:tcPr>
            <w:tcW w:type="dxa" w:w="1417"/>
            <w:shd w:val="clear" w:color="auto" w:fill="E7EAF0"/>
          </w:tcPr>
          <w:p>
            <w:r/>
            <w:r>
              <w:rPr>
                <w:b/>
                <w:i w:val="0"/>
                <w:sz w:val="18"/>
              </w:rPr>
              <w:t>Prix unitaire HT</w:t>
            </w:r>
          </w:p>
        </w:tc>
        <w:tc>
          <w:tcPr>
            <w:tcW w:type="dxa" w:w="1417"/>
            <w:shd w:val="clear" w:color="auto" w:fill="E7EAF0"/>
          </w:tcPr>
          <w:p>
            <w:r/>
            <w:r>
              <w:rPr>
                <w:b/>
                <w:i w:val="0"/>
                <w:sz w:val="18"/>
              </w:rPr>
              <w:t>Total HT</w:t>
            </w:r>
          </w:p>
        </w:tc>
      </w:tr>
      <w:tr>
        <w:tc>
          <w:tcPr>
            <w:tcW w:type="dxa" w:w="737"/>
          </w:tcPr>
          <w:p>
            <w:r/>
            <w:r>
              <w:rPr>
                <w:b w:val="0"/>
                <w:i w:val="0"/>
                <w:sz w:val="18"/>
              </w:rPr>
              <w:t>1</w:t>
            </w:r>
          </w:p>
        </w:tc>
        <w:tc>
          <w:tcPr>
            <w:tcW w:type="dxa" w:w="3175"/>
          </w:tcPr>
          <w:p>
            <w:r/>
            <w:r>
              <w:rPr>
                <w:b w:val="0"/>
                <w:i w:val="0"/>
                <w:sz w:val="18"/>
                <w:highlight w:val="yellow"/>
              </w:rPr>
              <w:t>[Portables, catégorie à préciser]</w:t>
            </w:r>
          </w:p>
        </w:tc>
        <w:tc>
          <w:tcPr>
            <w:tcW w:type="dxa" w:w="1247"/>
          </w:tcPr>
          <w:p>
            <w:r/>
            <w:r>
              <w:rPr>
                <w:b w:val="0"/>
                <w:i w:val="0"/>
                <w:sz w:val="18"/>
                <w:highlight w:val="yellow"/>
              </w:rPr>
              <w:t>[état]</w:t>
            </w:r>
          </w:p>
        </w:tc>
        <w:tc>
          <w:tcPr>
            <w:tcW w:type="dxa" w:w="1304"/>
          </w:tcPr>
          <w:p>
            <w:r/>
            <w:r>
              <w:rPr>
                <w:b w:val="0"/>
                <w:i w:val="0"/>
                <w:sz w:val="18"/>
                <w:highlight w:val="yellow"/>
              </w:rPr>
              <w:t>[ ]</w:t>
            </w:r>
          </w:p>
        </w:tc>
        <w:tc>
          <w:tcPr>
            <w:tcW w:type="dxa" w:w="1417"/>
          </w:tcPr>
          <w:p>
            <w:r/>
            <w:r>
              <w:rPr>
                <w:b w:val="0"/>
                <w:i w:val="0"/>
                <w:sz w:val="18"/>
                <w:highlight w:val="yellow"/>
              </w:rPr>
              <w:t>[ ]</w:t>
            </w:r>
          </w:p>
        </w:tc>
        <w:tc>
          <w:tcPr>
            <w:tcW w:type="dxa" w:w="1417"/>
          </w:tcPr>
          <w:p>
            <w:r/>
            <w:r>
              <w:rPr>
                <w:b w:val="0"/>
                <w:i w:val="0"/>
                <w:sz w:val="18"/>
                <w:highlight w:val="yellow"/>
              </w:rPr>
              <w:t>[ ]</w:t>
            </w:r>
          </w:p>
        </w:tc>
      </w:tr>
      <w:tr>
        <w:tc>
          <w:tcPr>
            <w:tcW w:type="dxa" w:w="737"/>
          </w:tcPr>
          <w:p>
            <w:r/>
            <w:r>
              <w:rPr>
                <w:b w:val="0"/>
                <w:i w:val="0"/>
                <w:sz w:val="18"/>
              </w:rPr>
              <w:t>1</w:t>
            </w:r>
          </w:p>
        </w:tc>
        <w:tc>
          <w:tcPr>
            <w:tcW w:type="dxa" w:w="3175"/>
          </w:tcPr>
          <w:p>
            <w:r/>
            <w:r>
              <w:rPr>
                <w:b w:val="0"/>
                <w:i w:val="0"/>
                <w:sz w:val="18"/>
                <w:highlight w:val="yellow"/>
              </w:rPr>
              <w:t>[Postes fixes, catégorie à préciser]</w:t>
            </w:r>
          </w:p>
        </w:tc>
        <w:tc>
          <w:tcPr>
            <w:tcW w:type="dxa" w:w="1247"/>
          </w:tcPr>
          <w:p>
            <w:r/>
            <w:r>
              <w:rPr>
                <w:b w:val="0"/>
                <w:i w:val="0"/>
                <w:sz w:val="18"/>
                <w:highlight w:val="yellow"/>
              </w:rPr>
              <w:t>[état]</w:t>
            </w:r>
          </w:p>
        </w:tc>
        <w:tc>
          <w:tcPr>
            <w:tcW w:type="dxa" w:w="1304"/>
          </w:tcPr>
          <w:p>
            <w:r/>
            <w:r>
              <w:rPr>
                <w:b w:val="0"/>
                <w:i w:val="0"/>
                <w:sz w:val="18"/>
                <w:highlight w:val="yellow"/>
              </w:rPr>
              <w:t>[ ]</w:t>
            </w:r>
          </w:p>
        </w:tc>
        <w:tc>
          <w:tcPr>
            <w:tcW w:type="dxa" w:w="1417"/>
          </w:tcPr>
          <w:p>
            <w:r/>
            <w:r>
              <w:rPr>
                <w:b w:val="0"/>
                <w:i w:val="0"/>
                <w:sz w:val="18"/>
                <w:highlight w:val="yellow"/>
              </w:rPr>
              <w:t>[ ]</w:t>
            </w:r>
          </w:p>
        </w:tc>
        <w:tc>
          <w:tcPr>
            <w:tcW w:type="dxa" w:w="1417"/>
          </w:tcPr>
          <w:p>
            <w:r/>
            <w:r>
              <w:rPr>
                <w:b w:val="0"/>
                <w:i w:val="0"/>
                <w:sz w:val="18"/>
                <w:highlight w:val="yellow"/>
              </w:rPr>
              <w:t>[ ]</w:t>
            </w:r>
          </w:p>
        </w:tc>
      </w:tr>
      <w:tr>
        <w:tc>
          <w:tcPr>
            <w:tcW w:type="dxa" w:w="737"/>
          </w:tcPr>
          <w:p>
            <w:r/>
            <w:r>
              <w:rPr>
                <w:b w:val="0"/>
                <w:i w:val="0"/>
                <w:sz w:val="18"/>
              </w:rPr>
              <w:t>1</w:t>
            </w:r>
          </w:p>
        </w:tc>
        <w:tc>
          <w:tcPr>
            <w:tcW w:type="dxa" w:w="3175"/>
          </w:tcPr>
          <w:p>
            <w:r/>
            <w:r>
              <w:rPr>
                <w:b w:val="0"/>
                <w:i w:val="0"/>
                <w:sz w:val="18"/>
                <w:highlight w:val="yellow"/>
              </w:rPr>
              <w:t>[Tout-en-un, catégorie à préciser]</w:t>
            </w:r>
          </w:p>
        </w:tc>
        <w:tc>
          <w:tcPr>
            <w:tcW w:type="dxa" w:w="1247"/>
          </w:tcPr>
          <w:p>
            <w:r/>
            <w:r>
              <w:rPr>
                <w:b w:val="0"/>
                <w:i w:val="0"/>
                <w:sz w:val="18"/>
                <w:highlight w:val="yellow"/>
              </w:rPr>
              <w:t>[état]</w:t>
            </w:r>
          </w:p>
        </w:tc>
        <w:tc>
          <w:tcPr>
            <w:tcW w:type="dxa" w:w="1304"/>
          </w:tcPr>
          <w:p>
            <w:r/>
            <w:r>
              <w:rPr>
                <w:b w:val="0"/>
                <w:i w:val="0"/>
                <w:sz w:val="18"/>
                <w:highlight w:val="yellow"/>
              </w:rPr>
              <w:t>[ ]</w:t>
            </w:r>
          </w:p>
        </w:tc>
        <w:tc>
          <w:tcPr>
            <w:tcW w:type="dxa" w:w="1417"/>
          </w:tcPr>
          <w:p>
            <w:r/>
            <w:r>
              <w:rPr>
                <w:b w:val="0"/>
                <w:i w:val="0"/>
                <w:sz w:val="18"/>
                <w:highlight w:val="yellow"/>
              </w:rPr>
              <w:t>[ ]</w:t>
            </w:r>
          </w:p>
        </w:tc>
        <w:tc>
          <w:tcPr>
            <w:tcW w:type="dxa" w:w="1417"/>
          </w:tcPr>
          <w:p>
            <w:r/>
            <w:r>
              <w:rPr>
                <w:b w:val="0"/>
                <w:i w:val="0"/>
                <w:sz w:val="18"/>
                <w:highlight w:val="yellow"/>
              </w:rPr>
              <w:t>[ ]</w:t>
            </w:r>
          </w:p>
        </w:tc>
      </w:tr>
      <w:tr>
        <w:tc>
          <w:tcPr>
            <w:tcW w:type="dxa" w:w="737"/>
          </w:tcPr>
          <w:p>
            <w:r/>
            <w:r>
              <w:rPr>
                <w:b w:val="0"/>
                <w:i w:val="0"/>
                <w:sz w:val="18"/>
              </w:rPr>
              <w:t>2</w:t>
            </w:r>
          </w:p>
        </w:tc>
        <w:tc>
          <w:tcPr>
            <w:tcW w:type="dxa" w:w="3175"/>
          </w:tcPr>
          <w:p>
            <w:r/>
            <w:r>
              <w:rPr>
                <w:b w:val="0"/>
                <w:i w:val="0"/>
                <w:sz w:val="18"/>
                <w:highlight w:val="yellow"/>
              </w:rPr>
              <w:t>[Écrans, taille]</w:t>
            </w:r>
          </w:p>
        </w:tc>
        <w:tc>
          <w:tcPr>
            <w:tcW w:type="dxa" w:w="1247"/>
          </w:tcPr>
          <w:p>
            <w:r/>
            <w:r>
              <w:rPr>
                <w:b w:val="0"/>
                <w:i w:val="0"/>
                <w:sz w:val="18"/>
                <w:highlight w:val="yellow"/>
              </w:rPr>
              <w:t>[état]</w:t>
            </w:r>
          </w:p>
        </w:tc>
        <w:tc>
          <w:tcPr>
            <w:tcW w:type="dxa" w:w="1304"/>
          </w:tcPr>
          <w:p>
            <w:r/>
            <w:r>
              <w:rPr>
                <w:b w:val="0"/>
                <w:i w:val="0"/>
                <w:sz w:val="18"/>
                <w:highlight w:val="yellow"/>
              </w:rPr>
              <w:t>[ ]</w:t>
            </w:r>
          </w:p>
        </w:tc>
        <w:tc>
          <w:tcPr>
            <w:tcW w:type="dxa" w:w="1417"/>
          </w:tcPr>
          <w:p>
            <w:r/>
            <w:r>
              <w:rPr>
                <w:b w:val="0"/>
                <w:i w:val="0"/>
                <w:sz w:val="18"/>
                <w:highlight w:val="yellow"/>
              </w:rPr>
              <w:t>[ ]</w:t>
            </w:r>
          </w:p>
        </w:tc>
        <w:tc>
          <w:tcPr>
            <w:tcW w:type="dxa" w:w="1417"/>
          </w:tcPr>
          <w:p>
            <w:r/>
            <w:r>
              <w:rPr>
                <w:b w:val="0"/>
                <w:i w:val="0"/>
                <w:sz w:val="18"/>
                <w:highlight w:val="yellow"/>
              </w:rPr>
              <w:t>[ ]</w:t>
            </w:r>
          </w:p>
        </w:tc>
      </w:tr>
      <w:tr>
        <w:tc>
          <w:tcPr>
            <w:tcW w:type="dxa" w:w="737"/>
          </w:tcPr>
          <w:p>
            <w:r/>
            <w:r>
              <w:rPr>
                <w:b w:val="0"/>
                <w:i w:val="0"/>
                <w:sz w:val="18"/>
              </w:rPr>
              <w:t>3</w:t>
            </w:r>
          </w:p>
        </w:tc>
        <w:tc>
          <w:tcPr>
            <w:tcW w:type="dxa" w:w="3175"/>
          </w:tcPr>
          <w:p>
            <w:r/>
            <w:r>
              <w:rPr>
                <w:b w:val="0"/>
                <w:i w:val="0"/>
                <w:sz w:val="18"/>
                <w:highlight w:val="yellow"/>
              </w:rPr>
              <w:t>[Matériel hors d'usage et accessoires]</w:t>
            </w:r>
          </w:p>
        </w:tc>
        <w:tc>
          <w:tcPr>
            <w:tcW w:type="dxa" w:w="1247"/>
          </w:tcPr>
          <w:p>
            <w:r/>
            <w:r>
              <w:rPr>
                <w:b w:val="0"/>
                <w:i w:val="0"/>
                <w:sz w:val="18"/>
              </w:rPr>
              <w:t>Hors d'usage</w:t>
            </w:r>
          </w:p>
        </w:tc>
        <w:tc>
          <w:tcPr>
            <w:tcW w:type="dxa" w:w="1304"/>
          </w:tcPr>
          <w:p>
            <w:r/>
            <w:r>
              <w:rPr>
                <w:b w:val="0"/>
                <w:i w:val="0"/>
                <w:sz w:val="18"/>
                <w:highlight w:val="yellow"/>
              </w:rPr>
              <w:t>[ ]</w:t>
            </w:r>
          </w:p>
        </w:tc>
        <w:tc>
          <w:tcPr>
            <w:tcW w:type="dxa" w:w="1417"/>
          </w:tcPr>
          <w:p>
            <w:r/>
            <w:r>
              <w:rPr>
                <w:b w:val="0"/>
                <w:i w:val="0"/>
                <w:sz w:val="18"/>
                <w:highlight w:val="yellow"/>
              </w:rPr>
              <w:t>[ ]</w:t>
            </w:r>
          </w:p>
        </w:tc>
        <w:tc>
          <w:tcPr>
            <w:tcW w:type="dxa" w:w="1417"/>
          </w:tcPr>
          <w:p>
            <w:r/>
            <w:r>
              <w:rPr>
                <w:b w:val="0"/>
                <w:i w:val="0"/>
                <w:sz w:val="18"/>
                <w:highlight w:val="yellow"/>
              </w:rPr>
              <w:t>[ ]</w:t>
            </w:r>
          </w:p>
        </w:tc>
      </w:tr>
      <w:tr>
        <w:tc>
          <w:tcPr>
            <w:tcW w:type="dxa" w:w="737"/>
          </w:tcPr>
          <w:p>
            <w:r/>
            <w:r>
              <w:rPr>
                <w:b w:val="0"/>
                <w:i w:val="0"/>
                <w:sz w:val="18"/>
                <w:highlight w:val="yellow"/>
              </w:rPr>
              <w:t>[Option]</w:t>
            </w:r>
          </w:p>
        </w:tc>
        <w:tc>
          <w:tcPr>
            <w:tcW w:type="dxa" w:w="3175"/>
          </w:tcPr>
          <w:p>
            <w:r/>
            <w:r>
              <w:rPr>
                <w:b w:val="0"/>
                <w:i w:val="0"/>
                <w:sz w:val="18"/>
                <w:highlight w:val="yellow"/>
              </w:rPr>
              <w:t>[Prestations chiffrées séparément : enlèvement, effacement sur site, destruction]</w:t>
            </w:r>
          </w:p>
        </w:tc>
        <w:tc>
          <w:tcPr>
            <w:tcW w:type="dxa" w:w="1247"/>
          </w:tcPr>
          <w:p>
            <w:r/>
          </w:p>
        </w:tc>
        <w:tc>
          <w:tcPr>
            <w:tcW w:type="dxa" w:w="1304"/>
          </w:tcPr>
          <w:p>
            <w:r/>
            <w:r>
              <w:rPr>
                <w:b w:val="0"/>
                <w:i w:val="0"/>
                <w:sz w:val="18"/>
                <w:highlight w:val="yellow"/>
              </w:rPr>
              <w:t>[ ]</w:t>
            </w:r>
          </w:p>
        </w:tc>
        <w:tc>
          <w:tcPr>
            <w:tcW w:type="dxa" w:w="1417"/>
          </w:tcPr>
          <w:p>
            <w:r/>
            <w:r>
              <w:rPr>
                <w:b w:val="0"/>
                <w:i w:val="0"/>
                <w:sz w:val="18"/>
                <w:highlight w:val="yellow"/>
              </w:rPr>
              <w:t>[ ]</w:t>
            </w:r>
          </w:p>
        </w:tc>
        <w:tc>
          <w:tcPr>
            <w:tcW w:type="dxa" w:w="1417"/>
          </w:tcPr>
          <w:p>
            <w:r/>
            <w:r>
              <w:rPr>
                <w:b w:val="0"/>
                <w:i w:val="0"/>
                <w:sz w:val="18"/>
                <w:highlight w:val="yellow"/>
              </w:rPr>
              <w:t>[ ]</w:t>
            </w:r>
          </w:p>
        </w:tc>
      </w:tr>
      <w:tr>
        <w:tc>
          <w:tcPr>
            <w:tcW w:type="dxa" w:w="737"/>
          </w:tcPr>
          <w:p>
            <w:r/>
          </w:p>
        </w:tc>
        <w:tc>
          <w:tcPr>
            <w:tcW w:type="dxa" w:w="3175"/>
          </w:tcPr>
          <w:p>
            <w:r/>
            <w:r>
              <w:rPr>
                <w:b w:val="0"/>
                <w:i w:val="0"/>
                <w:sz w:val="18"/>
              </w:rPr>
              <w:t>Total de l'offre</w:t>
            </w:r>
          </w:p>
        </w:tc>
        <w:tc>
          <w:tcPr>
            <w:tcW w:type="dxa" w:w="1247"/>
          </w:tcPr>
          <w:p>
            <w:r/>
          </w:p>
        </w:tc>
        <w:tc>
          <w:tcPr>
            <w:tcW w:type="dxa" w:w="1304"/>
          </w:tcPr>
          <w:p>
            <w:r/>
          </w:p>
        </w:tc>
        <w:tc>
          <w:tcPr>
            <w:tcW w:type="dxa" w:w="1417"/>
          </w:tcPr>
          <w:p>
            <w:r/>
          </w:p>
        </w:tc>
        <w:tc>
          <w:tcPr>
            <w:tcW w:type="dxa" w:w="1417"/>
          </w:tcPr>
          <w:p>
            <w:r/>
            <w:r>
              <w:rPr>
                <w:b w:val="0"/>
                <w:i w:val="0"/>
                <w:sz w:val="18"/>
                <w:highlight w:val="yellow"/>
              </w:rPr>
              <w:t>[ ]</w:t>
            </w:r>
          </w:p>
        </w:tc>
      </w:tr>
    </w:tbl>
    <w:p>
      <w:pPr>
        <w:spacing w:after="40"/>
      </w:pPr>
    </w:p>
    <w:p>
      <w:pPr>
        <w:pStyle w:val="Heading1"/>
      </w:pPr>
      <w:r>
        <w:t>Annexe 3. Accord de sous-traitance (article 28 du RGPD)</w:t>
      </w:r>
    </w:p>
    <w:tbl>
      <w:tblPr>
        <w:tblStyle w:val="TableGrid"/>
        <w:tblW w:type="auto" w:w="0"/>
        <w:jc w:val="center"/>
        <w:tblLook w:firstColumn="1" w:firstRow="1" w:lastColumn="0" w:lastRow="0" w:noHBand="0" w:noVBand="1" w:val="04A0"/>
      </w:tblPr>
      <w:tblGrid>
        <w:gridCol w:w="4816"/>
        <w:gridCol w:w="4816"/>
      </w:tblGrid>
      <w:tr>
        <w:trPr>
          <w:tblHeader w:val="true"/>
        </w:trPr>
        <w:tc>
          <w:tcPr>
            <w:tcW w:type="dxa" w:w="2551"/>
            <w:shd w:val="clear" w:color="auto" w:fill="E7EAF0"/>
          </w:tcPr>
          <w:p>
            <w:r/>
            <w:r>
              <w:rPr>
                <w:b/>
                <w:i w:val="0"/>
                <w:sz w:val="19"/>
              </w:rPr>
              <w:t>Rubrique</w:t>
            </w:r>
          </w:p>
        </w:tc>
        <w:tc>
          <w:tcPr>
            <w:tcW w:type="dxa" w:w="6746"/>
            <w:shd w:val="clear" w:color="auto" w:fill="E7EAF0"/>
          </w:tcPr>
          <w:p>
            <w:r/>
            <w:r>
              <w:rPr>
                <w:b/>
                <w:i w:val="0"/>
                <w:sz w:val="19"/>
              </w:rPr>
              <w:t>Contenu</w:t>
            </w:r>
          </w:p>
        </w:tc>
      </w:tr>
      <w:tr>
        <w:tc>
          <w:tcPr>
            <w:tcW w:type="dxa" w:w="2551"/>
          </w:tcPr>
          <w:p>
            <w:r/>
            <w:r>
              <w:rPr>
                <w:b w:val="0"/>
                <w:i w:val="0"/>
                <w:sz w:val="19"/>
              </w:rPr>
              <w:t>Responsable du traitement</w:t>
            </w:r>
          </w:p>
        </w:tc>
        <w:tc>
          <w:tcPr>
            <w:tcW w:type="dxa" w:w="6746"/>
          </w:tcPr>
          <w:p>
            <w:r/>
            <w:r>
              <w:rPr>
                <w:b w:val="0"/>
                <w:i w:val="0"/>
                <w:sz w:val="19"/>
                <w:highlight w:val="yellow"/>
              </w:rPr>
              <w:t>[Raison sociale du Cédant]</w:t>
            </w:r>
          </w:p>
        </w:tc>
      </w:tr>
      <w:tr>
        <w:tc>
          <w:tcPr>
            <w:tcW w:type="dxa" w:w="2551"/>
          </w:tcPr>
          <w:p>
            <w:r/>
            <w:r>
              <w:rPr>
                <w:b w:val="0"/>
                <w:i w:val="0"/>
                <w:sz w:val="19"/>
              </w:rPr>
              <w:t>Sous-traitant</w:t>
            </w:r>
          </w:p>
        </w:tc>
        <w:tc>
          <w:tcPr>
            <w:tcW w:type="dxa" w:w="6746"/>
          </w:tcPr>
          <w:p>
            <w:r/>
            <w:r>
              <w:rPr>
                <w:b w:val="0"/>
                <w:i w:val="0"/>
                <w:sz w:val="19"/>
                <w:highlight w:val="yellow"/>
              </w:rPr>
              <w:t>[Raison sociale du Repreneur]</w:t>
            </w:r>
          </w:p>
        </w:tc>
      </w:tr>
      <w:tr>
        <w:tc>
          <w:tcPr>
            <w:tcW w:type="dxa" w:w="2551"/>
          </w:tcPr>
          <w:p>
            <w:r/>
            <w:r>
              <w:rPr>
                <w:b w:val="0"/>
                <w:i w:val="0"/>
                <w:sz w:val="19"/>
              </w:rPr>
              <w:t>Objet</w:t>
            </w:r>
          </w:p>
        </w:tc>
        <w:tc>
          <w:tcPr>
            <w:tcW w:type="dxa" w:w="6746"/>
          </w:tcPr>
          <w:p>
            <w:r/>
            <w:r>
              <w:rPr>
                <w:b w:val="0"/>
                <w:i w:val="0"/>
                <w:sz w:val="19"/>
              </w:rPr>
              <w:t>Garde des supports de stockage des équipements cédés et effacement des données qu'ils contiennent.</w:t>
            </w:r>
          </w:p>
        </w:tc>
      </w:tr>
      <w:tr>
        <w:tc>
          <w:tcPr>
            <w:tcW w:type="dxa" w:w="2551"/>
          </w:tcPr>
          <w:p>
            <w:r/>
            <w:r>
              <w:rPr>
                <w:b w:val="0"/>
                <w:i w:val="0"/>
                <w:sz w:val="19"/>
              </w:rPr>
              <w:t>Durée</w:t>
            </w:r>
          </w:p>
        </w:tc>
        <w:tc>
          <w:tcPr>
            <w:tcW w:type="dxa" w:w="6746"/>
          </w:tcPr>
          <w:p>
            <w:r/>
            <w:r>
              <w:rPr>
                <w:b w:val="0"/>
                <w:i w:val="0"/>
                <w:sz w:val="19"/>
              </w:rPr>
              <w:t>De la signature du bon d'enlèvement à la remise du dernier certificat d'effacement ou de destruction.</w:t>
            </w:r>
          </w:p>
        </w:tc>
      </w:tr>
      <w:tr>
        <w:tc>
          <w:tcPr>
            <w:tcW w:type="dxa" w:w="2551"/>
          </w:tcPr>
          <w:p>
            <w:r/>
            <w:r>
              <w:rPr>
                <w:b w:val="0"/>
                <w:i w:val="0"/>
                <w:sz w:val="19"/>
              </w:rPr>
              <w:t>Nature des opérations</w:t>
            </w:r>
          </w:p>
        </w:tc>
        <w:tc>
          <w:tcPr>
            <w:tcW w:type="dxa" w:w="6746"/>
          </w:tcPr>
          <w:p>
            <w:r/>
            <w:r>
              <w:rPr>
                <w:b w:val="0"/>
                <w:i w:val="0"/>
                <w:sz w:val="19"/>
              </w:rPr>
              <w:t>Conservation, effacement, destruction des supports.</w:t>
            </w:r>
          </w:p>
        </w:tc>
      </w:tr>
      <w:tr>
        <w:tc>
          <w:tcPr>
            <w:tcW w:type="dxa" w:w="2551"/>
          </w:tcPr>
          <w:p>
            <w:r/>
            <w:r>
              <w:rPr>
                <w:b w:val="0"/>
                <w:i w:val="0"/>
                <w:sz w:val="19"/>
              </w:rPr>
              <w:t>Types de données</w:t>
            </w:r>
          </w:p>
        </w:tc>
        <w:tc>
          <w:tcPr>
            <w:tcW w:type="dxa" w:w="6746"/>
          </w:tcPr>
          <w:p>
            <w:r/>
            <w:r>
              <w:rPr>
                <w:b w:val="0"/>
                <w:i w:val="0"/>
                <w:sz w:val="19"/>
                <w:highlight w:val="yellow"/>
              </w:rPr>
              <w:t>[Données des salariés, des clients, des usagers, autres catégories à préciser]</w:t>
            </w:r>
          </w:p>
        </w:tc>
      </w:tr>
      <w:tr>
        <w:tc>
          <w:tcPr>
            <w:tcW w:type="dxa" w:w="2551"/>
          </w:tcPr>
          <w:p>
            <w:r/>
            <w:r>
              <w:rPr>
                <w:b w:val="0"/>
                <w:i w:val="0"/>
                <w:sz w:val="19"/>
              </w:rPr>
              <w:t>Catégories de personnes</w:t>
            </w:r>
          </w:p>
        </w:tc>
        <w:tc>
          <w:tcPr>
            <w:tcW w:type="dxa" w:w="6746"/>
          </w:tcPr>
          <w:p>
            <w:r/>
            <w:r>
              <w:rPr>
                <w:b w:val="0"/>
                <w:i w:val="0"/>
                <w:sz w:val="19"/>
                <w:highlight w:val="yellow"/>
              </w:rPr>
              <w:t>[Salariés, clients, usagers, autres catégories à préciser]</w:t>
            </w:r>
          </w:p>
        </w:tc>
      </w:tr>
      <w:tr>
        <w:tc>
          <w:tcPr>
            <w:tcW w:type="dxa" w:w="2551"/>
          </w:tcPr>
          <w:p>
            <w:r/>
            <w:r>
              <w:rPr>
                <w:b w:val="0"/>
                <w:i w:val="0"/>
                <w:sz w:val="19"/>
              </w:rPr>
              <w:t>Instructions</w:t>
            </w:r>
          </w:p>
        </w:tc>
        <w:tc>
          <w:tcPr>
            <w:tcW w:type="dxa" w:w="6746"/>
          </w:tcPr>
          <w:p>
            <w:r/>
            <w:r>
              <w:rPr>
                <w:b w:val="0"/>
                <w:i w:val="0"/>
                <w:sz w:val="19"/>
              </w:rPr>
              <w:t>Le sous-traitant ne traite les données que sur instruction documentée du Cédant, définie par les articles 6 et 7 du cahier des charges.</w:t>
            </w:r>
          </w:p>
        </w:tc>
      </w:tr>
      <w:tr>
        <w:tc>
          <w:tcPr>
            <w:tcW w:type="dxa" w:w="2551"/>
          </w:tcPr>
          <w:p>
            <w:r/>
            <w:r>
              <w:rPr>
                <w:b w:val="0"/>
                <w:i w:val="0"/>
                <w:sz w:val="19"/>
              </w:rPr>
              <w:t>Confidentialité</w:t>
            </w:r>
          </w:p>
        </w:tc>
        <w:tc>
          <w:tcPr>
            <w:tcW w:type="dxa" w:w="6746"/>
          </w:tcPr>
          <w:p>
            <w:r/>
            <w:r>
              <w:rPr>
                <w:b w:val="0"/>
                <w:i w:val="0"/>
                <w:sz w:val="19"/>
              </w:rPr>
              <w:t>Les personnes autorisées à manipuler les supports sont soumises à une obligation de confidentialité.</w:t>
            </w:r>
          </w:p>
        </w:tc>
      </w:tr>
      <w:tr>
        <w:tc>
          <w:tcPr>
            <w:tcW w:type="dxa" w:w="2551"/>
          </w:tcPr>
          <w:p>
            <w:r/>
            <w:r>
              <w:rPr>
                <w:b w:val="0"/>
                <w:i w:val="0"/>
                <w:sz w:val="19"/>
              </w:rPr>
              <w:t>Sécurité</w:t>
            </w:r>
          </w:p>
        </w:tc>
        <w:tc>
          <w:tcPr>
            <w:tcW w:type="dxa" w:w="6746"/>
          </w:tcPr>
          <w:p>
            <w:r/>
            <w:r>
              <w:rPr>
                <w:b w:val="0"/>
                <w:i w:val="0"/>
                <w:sz w:val="19"/>
              </w:rPr>
              <w:t>Mesures décrites dans l'offre : contrôle d'accès, zone d'entreposage, transport, effacement et vérification (article 32 du RGPD).</w:t>
            </w:r>
          </w:p>
        </w:tc>
      </w:tr>
      <w:tr>
        <w:tc>
          <w:tcPr>
            <w:tcW w:type="dxa" w:w="2551"/>
          </w:tcPr>
          <w:p>
            <w:r/>
            <w:r>
              <w:rPr>
                <w:b w:val="0"/>
                <w:i w:val="0"/>
                <w:sz w:val="19"/>
              </w:rPr>
              <w:t>Sous-traitance ultérieure</w:t>
            </w:r>
          </w:p>
        </w:tc>
        <w:tc>
          <w:tcPr>
            <w:tcW w:type="dxa" w:w="6746"/>
          </w:tcPr>
          <w:p>
            <w:r/>
            <w:r>
              <w:rPr>
                <w:b w:val="0"/>
                <w:i w:val="0"/>
                <w:sz w:val="19"/>
              </w:rPr>
              <w:t xml:space="preserve">Autorisation écrite préalable </w:t>
            </w:r>
            <w:r>
              <w:rPr>
                <w:b w:val="0"/>
                <w:i w:val="0"/>
                <w:sz w:val="19"/>
                <w:highlight w:val="yellow"/>
              </w:rPr>
              <w:t>[spécifique / générale, avec information préalable de tout changement]</w:t>
            </w:r>
            <w:r>
              <w:rPr>
                <w:b w:val="0"/>
                <w:i w:val="0"/>
                <w:sz w:val="19"/>
              </w:rPr>
              <w:t>. Liste en annexe 4.</w:t>
            </w:r>
          </w:p>
        </w:tc>
      </w:tr>
      <w:tr>
        <w:tc>
          <w:tcPr>
            <w:tcW w:type="dxa" w:w="2551"/>
          </w:tcPr>
          <w:p>
            <w:r/>
            <w:r>
              <w:rPr>
                <w:b w:val="0"/>
                <w:i w:val="0"/>
                <w:sz w:val="19"/>
              </w:rPr>
              <w:t>Assistance</w:t>
            </w:r>
          </w:p>
        </w:tc>
        <w:tc>
          <w:tcPr>
            <w:tcW w:type="dxa" w:w="6746"/>
          </w:tcPr>
          <w:p>
            <w:r/>
            <w:r>
              <w:rPr>
                <w:b w:val="0"/>
                <w:i w:val="0"/>
                <w:sz w:val="19"/>
              </w:rPr>
              <w:t>Le sous-traitant aide le Cédant à respecter ses obligations, notamment en cas de violation de données.</w:t>
            </w:r>
          </w:p>
        </w:tc>
      </w:tr>
      <w:tr>
        <w:tc>
          <w:tcPr>
            <w:tcW w:type="dxa" w:w="2551"/>
          </w:tcPr>
          <w:p>
            <w:r/>
            <w:r>
              <w:rPr>
                <w:b w:val="0"/>
                <w:i w:val="0"/>
                <w:sz w:val="19"/>
              </w:rPr>
              <w:t>Violation de données</w:t>
            </w:r>
          </w:p>
        </w:tc>
        <w:tc>
          <w:tcPr>
            <w:tcW w:type="dxa" w:w="6746"/>
          </w:tcPr>
          <w:p>
            <w:r/>
            <w:r>
              <w:rPr>
                <w:b w:val="0"/>
                <w:i w:val="0"/>
                <w:sz w:val="19"/>
              </w:rPr>
              <w:t xml:space="preserve">Notification au Cédant dans les meilleurs délais, au plus tard </w:t>
            </w:r>
            <w:r>
              <w:rPr>
                <w:b w:val="0"/>
                <w:i w:val="0"/>
                <w:sz w:val="19"/>
                <w:highlight w:val="yellow"/>
              </w:rPr>
              <w:t>[nombre]</w:t>
            </w:r>
            <w:r>
              <w:rPr>
                <w:b w:val="0"/>
                <w:i w:val="0"/>
                <w:sz w:val="19"/>
              </w:rPr>
              <w:t xml:space="preserve"> heures après en avoir pris connaissance.</w:t>
            </w:r>
          </w:p>
        </w:tc>
      </w:tr>
      <w:tr>
        <w:tc>
          <w:tcPr>
            <w:tcW w:type="dxa" w:w="2551"/>
          </w:tcPr>
          <w:p>
            <w:r/>
            <w:r>
              <w:rPr>
                <w:b w:val="0"/>
                <w:i w:val="0"/>
                <w:sz w:val="19"/>
              </w:rPr>
              <w:t>Sort des données</w:t>
            </w:r>
          </w:p>
        </w:tc>
        <w:tc>
          <w:tcPr>
            <w:tcW w:type="dxa" w:w="6746"/>
          </w:tcPr>
          <w:p>
            <w:r/>
            <w:r>
              <w:rPr>
                <w:b w:val="0"/>
                <w:i w:val="0"/>
                <w:sz w:val="19"/>
              </w:rPr>
              <w:t>Effacement selon l'article 6 du cahier des charges, prouvé par un certificat par support.</w:t>
            </w:r>
          </w:p>
        </w:tc>
      </w:tr>
      <w:tr>
        <w:tc>
          <w:tcPr>
            <w:tcW w:type="dxa" w:w="2551"/>
          </w:tcPr>
          <w:p>
            <w:r/>
            <w:r>
              <w:rPr>
                <w:b w:val="0"/>
                <w:i w:val="0"/>
                <w:sz w:val="19"/>
              </w:rPr>
              <w:t>Audits</w:t>
            </w:r>
          </w:p>
        </w:tc>
        <w:tc>
          <w:tcPr>
            <w:tcW w:type="dxa" w:w="6746"/>
          </w:tcPr>
          <w:p>
            <w:r/>
            <w:r>
              <w:rPr>
                <w:b w:val="0"/>
                <w:i w:val="0"/>
                <w:sz w:val="19"/>
              </w:rPr>
              <w:t>Selon l'article 15 du cahier des charges.</w:t>
            </w:r>
          </w:p>
        </w:tc>
      </w:tr>
      <w:tr>
        <w:tc>
          <w:tcPr>
            <w:tcW w:type="dxa" w:w="2551"/>
          </w:tcPr>
          <w:p>
            <w:r/>
            <w:r>
              <w:rPr>
                <w:b w:val="0"/>
                <w:i w:val="0"/>
                <w:sz w:val="19"/>
              </w:rPr>
              <w:t>Contacts</w:t>
            </w:r>
          </w:p>
        </w:tc>
        <w:tc>
          <w:tcPr>
            <w:tcW w:type="dxa" w:w="6746"/>
          </w:tcPr>
          <w:p>
            <w:r/>
            <w:r>
              <w:rPr>
                <w:b w:val="0"/>
                <w:i w:val="0"/>
                <w:sz w:val="19"/>
              </w:rPr>
              <w:t xml:space="preserve">Cédant : </w:t>
            </w:r>
            <w:r>
              <w:rPr>
                <w:b w:val="0"/>
                <w:i w:val="0"/>
                <w:sz w:val="19"/>
                <w:highlight w:val="yellow"/>
              </w:rPr>
              <w:t>[délégué à la protection des données, coordonnées]</w:t>
            </w:r>
            <w:r>
              <w:rPr>
                <w:b w:val="0"/>
                <w:i w:val="0"/>
                <w:sz w:val="19"/>
              </w:rPr>
              <w:t xml:space="preserve">. Repreneur : </w:t>
            </w:r>
            <w:r>
              <w:rPr>
                <w:b w:val="0"/>
                <w:i w:val="0"/>
                <w:sz w:val="19"/>
                <w:highlight w:val="yellow"/>
              </w:rPr>
              <w:t>[nom, coordonnées]</w:t>
            </w:r>
            <w:r>
              <w:rPr>
                <w:b w:val="0"/>
                <w:i w:val="0"/>
                <w:sz w:val="19"/>
              </w:rPr>
              <w:t>.</w:t>
            </w:r>
          </w:p>
        </w:tc>
      </w:tr>
    </w:tbl>
    <w:p>
      <w:pPr>
        <w:spacing w:after="40"/>
      </w:pPr>
    </w:p>
    <w:p>
      <w:pPr>
        <w:ind w:left="624"/>
      </w:pPr>
      <w:r>
        <w:rPr>
          <w:b/>
          <w:i/>
          <w:color w:val="5F6673"/>
          <w:sz w:val="19"/>
        </w:rPr>
        <w:t xml:space="preserve">Note : </w:t>
      </w:r>
      <w:r>
        <w:rPr>
          <w:b w:val="0"/>
          <w:i/>
          <w:color w:val="5F6673"/>
          <w:sz w:val="19"/>
        </w:rPr>
        <w:t>Le Cédant peut substituer à cette annexe son propre accord de sous-traitance.</w:t>
      </w:r>
    </w:p>
    <w:p>
      <w:pPr>
        <w:pStyle w:val="Heading1"/>
      </w:pPr>
      <w:r>
        <w:t>Annexe 4. Sous-traitants et sites</w:t>
      </w:r>
    </w:p>
    <w:p>
      <w:r>
        <w:rPr>
          <w:b w:val="0"/>
          <w:i w:val="0"/>
        </w:rPr>
        <w:t>À compléter par le candidat. Toute modification en cours d'exécution est soumise à l'accord écrit préalable du Cédant (article 7.3).</w:t>
      </w:r>
    </w:p>
    <w:tbl>
      <w:tblPr>
        <w:tblStyle w:val="TableGrid"/>
        <w:tblW w:type="auto" w:w="0"/>
        <w:jc w:val="center"/>
        <w:tblLook w:firstColumn="1" w:firstRow="1" w:lastColumn="0" w:lastRow="0" w:noHBand="0" w:noVBand="1" w:val="04A0"/>
      </w:tblPr>
      <w:tblGrid>
        <w:gridCol w:w="2408"/>
        <w:gridCol w:w="2408"/>
        <w:gridCol w:w="2408"/>
        <w:gridCol w:w="2408"/>
      </w:tblGrid>
      <w:tr>
        <w:trPr>
          <w:tblHeader w:val="true"/>
        </w:trPr>
        <w:tc>
          <w:tcPr>
            <w:tcW w:type="dxa" w:w="2268"/>
            <w:shd w:val="clear" w:color="auto" w:fill="E7EAF0"/>
          </w:tcPr>
          <w:p>
            <w:r/>
            <w:r>
              <w:rPr>
                <w:b/>
                <w:i w:val="0"/>
                <w:sz w:val="19"/>
              </w:rPr>
              <w:t>Entreprise et SIREN</w:t>
            </w:r>
          </w:p>
        </w:tc>
        <w:tc>
          <w:tcPr>
            <w:tcW w:type="dxa" w:w="2608"/>
            <w:shd w:val="clear" w:color="auto" w:fill="E7EAF0"/>
          </w:tcPr>
          <w:p>
            <w:r/>
            <w:r>
              <w:rPr>
                <w:b/>
                <w:i w:val="0"/>
                <w:sz w:val="19"/>
              </w:rPr>
              <w:t>Adresse du site</w:t>
            </w:r>
          </w:p>
        </w:tc>
        <w:tc>
          <w:tcPr>
            <w:tcW w:type="dxa" w:w="2835"/>
            <w:shd w:val="clear" w:color="auto" w:fill="E7EAF0"/>
          </w:tcPr>
          <w:p>
            <w:r/>
            <w:r>
              <w:rPr>
                <w:b/>
                <w:i w:val="0"/>
                <w:sz w:val="19"/>
              </w:rPr>
              <w:t>Étape confiée</w:t>
            </w:r>
          </w:p>
        </w:tc>
        <w:tc>
          <w:tcPr>
            <w:tcW w:type="dxa" w:w="1587"/>
            <w:shd w:val="clear" w:color="auto" w:fill="E7EAF0"/>
          </w:tcPr>
          <w:p>
            <w:r/>
            <w:r>
              <w:rPr>
                <w:b/>
                <w:i w:val="0"/>
                <w:sz w:val="19"/>
              </w:rPr>
              <w:t>Accès aux supports non effacés</w:t>
            </w:r>
          </w:p>
        </w:tc>
      </w:tr>
      <w:tr>
        <w:tc>
          <w:tcPr>
            <w:tcW w:type="dxa" w:w="2268"/>
          </w:tcPr>
          <w:p>
            <w:r/>
            <w:r>
              <w:rPr>
                <w:b w:val="0"/>
                <w:i w:val="0"/>
                <w:sz w:val="19"/>
                <w:highlight w:val="yellow"/>
              </w:rPr>
              <w:t>[ ]</w:t>
            </w:r>
          </w:p>
        </w:tc>
        <w:tc>
          <w:tcPr>
            <w:tcW w:type="dxa" w:w="2608"/>
          </w:tcPr>
          <w:p>
            <w:r/>
            <w:r>
              <w:rPr>
                <w:b w:val="0"/>
                <w:i w:val="0"/>
                <w:sz w:val="19"/>
                <w:highlight w:val="yellow"/>
              </w:rPr>
              <w:t>[ ]</w:t>
            </w:r>
          </w:p>
        </w:tc>
        <w:tc>
          <w:tcPr>
            <w:tcW w:type="dxa" w:w="2835"/>
          </w:tcPr>
          <w:p>
            <w:r/>
            <w:r>
              <w:rPr>
                <w:b w:val="0"/>
                <w:i w:val="0"/>
                <w:sz w:val="19"/>
                <w:highlight w:val="yellow"/>
              </w:rPr>
              <w:t>[Transport, entreposage, effacement, destruction, reconditionnement, recyclage]</w:t>
            </w:r>
          </w:p>
        </w:tc>
        <w:tc>
          <w:tcPr>
            <w:tcW w:type="dxa" w:w="1587"/>
          </w:tcPr>
          <w:p>
            <w:r/>
            <w:r>
              <w:rPr>
                <w:b w:val="0"/>
                <w:i w:val="0"/>
                <w:sz w:val="19"/>
                <w:highlight w:val="yellow"/>
              </w:rPr>
              <w:t>[Oui / Non]</w:t>
            </w:r>
          </w:p>
        </w:tc>
      </w:tr>
      <w:tr>
        <w:tc>
          <w:tcPr>
            <w:tcW w:type="dxa" w:w="2268"/>
          </w:tcPr>
          <w:p>
            <w:r/>
            <w:r>
              <w:rPr>
                <w:b w:val="0"/>
                <w:i w:val="0"/>
                <w:sz w:val="19"/>
                <w:highlight w:val="yellow"/>
              </w:rPr>
              <w:t>[ ]</w:t>
            </w:r>
          </w:p>
        </w:tc>
        <w:tc>
          <w:tcPr>
            <w:tcW w:type="dxa" w:w="2608"/>
          </w:tcPr>
          <w:p>
            <w:r/>
            <w:r>
              <w:rPr>
                <w:b w:val="0"/>
                <w:i w:val="0"/>
                <w:sz w:val="19"/>
                <w:highlight w:val="yellow"/>
              </w:rPr>
              <w:t>[ ]</w:t>
            </w:r>
          </w:p>
        </w:tc>
        <w:tc>
          <w:tcPr>
            <w:tcW w:type="dxa" w:w="2835"/>
          </w:tcPr>
          <w:p>
            <w:r/>
            <w:r>
              <w:rPr>
                <w:b w:val="0"/>
                <w:i w:val="0"/>
                <w:sz w:val="19"/>
                <w:highlight w:val="yellow"/>
              </w:rPr>
              <w:t>[ ]</w:t>
            </w:r>
          </w:p>
        </w:tc>
        <w:tc>
          <w:tcPr>
            <w:tcW w:type="dxa" w:w="1587"/>
          </w:tcPr>
          <w:p>
            <w:r/>
            <w:r>
              <w:rPr>
                <w:b w:val="0"/>
                <w:i w:val="0"/>
                <w:sz w:val="19"/>
                <w:highlight w:val="yellow"/>
              </w:rPr>
              <w:t>[Oui / Non]</w:t>
            </w:r>
          </w:p>
        </w:tc>
      </w:tr>
      <w:tr>
        <w:tc>
          <w:tcPr>
            <w:tcW w:type="dxa" w:w="2268"/>
          </w:tcPr>
          <w:p>
            <w:r/>
            <w:r>
              <w:rPr>
                <w:b w:val="0"/>
                <w:i w:val="0"/>
                <w:sz w:val="19"/>
                <w:highlight w:val="yellow"/>
              </w:rPr>
              <w:t>[ ]</w:t>
            </w:r>
          </w:p>
        </w:tc>
        <w:tc>
          <w:tcPr>
            <w:tcW w:type="dxa" w:w="2608"/>
          </w:tcPr>
          <w:p>
            <w:r/>
            <w:r>
              <w:rPr>
                <w:b w:val="0"/>
                <w:i w:val="0"/>
                <w:sz w:val="19"/>
                <w:highlight w:val="yellow"/>
              </w:rPr>
              <w:t>[ ]</w:t>
            </w:r>
          </w:p>
        </w:tc>
        <w:tc>
          <w:tcPr>
            <w:tcW w:type="dxa" w:w="2835"/>
          </w:tcPr>
          <w:p>
            <w:r/>
            <w:r>
              <w:rPr>
                <w:b w:val="0"/>
                <w:i w:val="0"/>
                <w:sz w:val="19"/>
                <w:highlight w:val="yellow"/>
              </w:rPr>
              <w:t>[ ]</w:t>
            </w:r>
          </w:p>
        </w:tc>
        <w:tc>
          <w:tcPr>
            <w:tcW w:type="dxa" w:w="1587"/>
          </w:tcPr>
          <w:p>
            <w:r/>
            <w:r>
              <w:rPr>
                <w:b w:val="0"/>
                <w:i w:val="0"/>
                <w:sz w:val="19"/>
                <w:highlight w:val="yellow"/>
              </w:rPr>
              <w:t>[Oui / Non]</w:t>
            </w:r>
          </w:p>
        </w:tc>
      </w:tr>
    </w:tbl>
    <w:p>
      <w:pPr>
        <w:spacing w:after="40"/>
      </w:pPr>
    </w:p>
    <w:p>
      <w:pPr>
        <w:pStyle w:val="Heading1"/>
      </w:pPr>
      <w:r>
        <w:t>Annexe 5. Modèle d'attestation de cession</w:t>
      </w:r>
    </w:p>
    <w:p>
      <w:pPr>
        <w:spacing w:after="160"/>
        <w:jc w:val="center"/>
      </w:pPr>
      <w:r>
        <w:rPr>
          <w:b/>
          <w:i w:val="0"/>
        </w:rPr>
        <w:t>ATTESTATION DE CESSION DE MATÉRIEL INFORMATIQUE</w:t>
      </w:r>
    </w:p>
    <w:tbl>
      <w:tblPr>
        <w:tblStyle w:val="TableGrid"/>
        <w:tblW w:type="auto" w:w="0"/>
        <w:jc w:val="center"/>
        <w:tblLook w:firstColumn="1" w:firstRow="1" w:lastColumn="0" w:lastRow="0" w:noHBand="0" w:noVBand="1" w:val="04A0"/>
      </w:tblPr>
      <w:tblGrid>
        <w:gridCol w:w="4816"/>
        <w:gridCol w:w="4816"/>
      </w:tblGrid>
      <w:tr>
        <w:trPr>
          <w:tblHeader w:val="true"/>
        </w:trPr>
        <w:tc>
          <w:tcPr>
            <w:tcW w:type="dxa" w:w="2551"/>
            <w:shd w:val="clear" w:color="auto" w:fill="E7EAF0"/>
          </w:tcPr>
          <w:p>
            <w:r/>
            <w:r>
              <w:rPr>
                <w:b/>
                <w:i w:val="0"/>
                <w:sz w:val="19"/>
              </w:rPr>
              <w:t>Rubrique</w:t>
            </w:r>
          </w:p>
        </w:tc>
        <w:tc>
          <w:tcPr>
            <w:tcW w:type="dxa" w:w="6746"/>
            <w:shd w:val="clear" w:color="auto" w:fill="E7EAF0"/>
          </w:tcPr>
          <w:p>
            <w:r/>
            <w:r>
              <w:rPr>
                <w:b/>
                <w:i w:val="0"/>
                <w:sz w:val="19"/>
              </w:rPr>
              <w:t>Contenu</w:t>
            </w:r>
          </w:p>
        </w:tc>
      </w:tr>
      <w:tr>
        <w:tc>
          <w:tcPr>
            <w:tcW w:type="dxa" w:w="2551"/>
          </w:tcPr>
          <w:p>
            <w:r/>
            <w:r>
              <w:rPr>
                <w:b w:val="0"/>
                <w:i w:val="0"/>
                <w:sz w:val="19"/>
              </w:rPr>
              <w:t>Cédant</w:t>
            </w:r>
          </w:p>
        </w:tc>
        <w:tc>
          <w:tcPr>
            <w:tcW w:type="dxa" w:w="6746"/>
          </w:tcPr>
          <w:p>
            <w:r/>
            <w:r>
              <w:rPr>
                <w:b w:val="0"/>
                <w:i w:val="0"/>
                <w:sz w:val="19"/>
                <w:highlight w:val="yellow"/>
              </w:rPr>
              <w:t>[Raison sociale, SIREN, adresse, nom et fonction du signataire]</w:t>
            </w:r>
          </w:p>
        </w:tc>
      </w:tr>
      <w:tr>
        <w:tc>
          <w:tcPr>
            <w:tcW w:type="dxa" w:w="2551"/>
          </w:tcPr>
          <w:p>
            <w:r/>
            <w:r>
              <w:rPr>
                <w:b w:val="0"/>
                <w:i w:val="0"/>
                <w:sz w:val="19"/>
              </w:rPr>
              <w:t>Repreneur</w:t>
            </w:r>
          </w:p>
        </w:tc>
        <w:tc>
          <w:tcPr>
            <w:tcW w:type="dxa" w:w="6746"/>
          </w:tcPr>
          <w:p>
            <w:r/>
            <w:r>
              <w:rPr>
                <w:b w:val="0"/>
                <w:i w:val="0"/>
                <w:sz w:val="19"/>
                <w:highlight w:val="yellow"/>
              </w:rPr>
              <w:t>[Raison sociale, SIREN, adresse, nom et fonction du signataire]</w:t>
            </w:r>
          </w:p>
        </w:tc>
      </w:tr>
      <w:tr>
        <w:tc>
          <w:tcPr>
            <w:tcW w:type="dxa" w:w="2551"/>
          </w:tcPr>
          <w:p>
            <w:r/>
            <w:r>
              <w:rPr>
                <w:b w:val="0"/>
                <w:i w:val="0"/>
                <w:sz w:val="19"/>
              </w:rPr>
              <w:t>Référence de l'opération</w:t>
            </w:r>
          </w:p>
        </w:tc>
        <w:tc>
          <w:tcPr>
            <w:tcW w:type="dxa" w:w="6746"/>
          </w:tcPr>
          <w:p>
            <w:r/>
            <w:r>
              <w:rPr>
                <w:b w:val="0"/>
                <w:i w:val="0"/>
                <w:sz w:val="19"/>
                <w:highlight w:val="yellow"/>
              </w:rPr>
              <w:t>[Numéro du contrat ou du bon de commande, date de l'offre acceptée]</w:t>
            </w:r>
          </w:p>
        </w:tc>
      </w:tr>
      <w:tr>
        <w:tc>
          <w:tcPr>
            <w:tcW w:type="dxa" w:w="2551"/>
          </w:tcPr>
          <w:p>
            <w:r/>
            <w:r>
              <w:rPr>
                <w:b w:val="0"/>
                <w:i w:val="0"/>
                <w:sz w:val="19"/>
              </w:rPr>
              <w:t>Remise du matériel</w:t>
            </w:r>
          </w:p>
        </w:tc>
        <w:tc>
          <w:tcPr>
            <w:tcW w:type="dxa" w:w="6746"/>
          </w:tcPr>
          <w:p>
            <w:r/>
            <w:r>
              <w:rPr>
                <w:b w:val="0"/>
                <w:i w:val="0"/>
                <w:sz w:val="19"/>
                <w:highlight w:val="yellow"/>
              </w:rPr>
              <w:t>[Date et site d'enlèvement, référence du bon d'enlèvement]</w:t>
            </w:r>
          </w:p>
        </w:tc>
      </w:tr>
      <w:tr>
        <w:tc>
          <w:tcPr>
            <w:tcW w:type="dxa" w:w="2551"/>
          </w:tcPr>
          <w:p>
            <w:r/>
            <w:r>
              <w:rPr>
                <w:b w:val="0"/>
                <w:i w:val="0"/>
                <w:sz w:val="19"/>
              </w:rPr>
              <w:t>Désignation des biens</w:t>
            </w:r>
          </w:p>
        </w:tc>
        <w:tc>
          <w:tcPr>
            <w:tcW w:type="dxa" w:w="6746"/>
          </w:tcPr>
          <w:p>
            <w:r/>
            <w:r>
              <w:rPr>
                <w:b w:val="0"/>
                <w:i w:val="0"/>
                <w:sz w:val="19"/>
                <w:highlight w:val="yellow"/>
              </w:rPr>
              <w:t>[Nombre d'équipements par type]</w:t>
            </w:r>
            <w:r>
              <w:rPr>
                <w:b w:val="0"/>
                <w:i w:val="0"/>
                <w:sz w:val="19"/>
              </w:rPr>
              <w:t xml:space="preserve"> ; liste annexée : type, marque, modèle, numéro de série, numéro d'immobilisation.</w:t>
            </w:r>
          </w:p>
        </w:tc>
      </w:tr>
      <w:tr>
        <w:tc>
          <w:tcPr>
            <w:tcW w:type="dxa" w:w="2551"/>
          </w:tcPr>
          <w:p>
            <w:r/>
            <w:r>
              <w:rPr>
                <w:b w:val="0"/>
                <w:i w:val="0"/>
                <w:sz w:val="19"/>
              </w:rPr>
              <w:t>Écarts constatés</w:t>
            </w:r>
          </w:p>
        </w:tc>
        <w:tc>
          <w:tcPr>
            <w:tcW w:type="dxa" w:w="6746"/>
          </w:tcPr>
          <w:p>
            <w:r/>
            <w:r>
              <w:rPr>
                <w:b w:val="0"/>
                <w:i w:val="0"/>
                <w:sz w:val="19"/>
                <w:highlight w:val="yellow"/>
              </w:rPr>
              <w:t>[Équipements manquants ou en surnombre, différences d'état, et leur traitement / Néant]</w:t>
            </w:r>
          </w:p>
        </w:tc>
      </w:tr>
      <w:tr>
        <w:tc>
          <w:tcPr>
            <w:tcW w:type="dxa" w:w="2551"/>
          </w:tcPr>
          <w:p>
            <w:r/>
            <w:r>
              <w:rPr>
                <w:b w:val="0"/>
                <w:i w:val="0"/>
                <w:sz w:val="19"/>
              </w:rPr>
              <w:t>Prix</w:t>
            </w:r>
          </w:p>
        </w:tc>
        <w:tc>
          <w:tcPr>
            <w:tcW w:type="dxa" w:w="6746"/>
          </w:tcPr>
          <w:p>
            <w:r/>
            <w:r>
              <w:rPr>
                <w:b w:val="0"/>
                <w:i w:val="0"/>
                <w:sz w:val="19"/>
                <w:highlight w:val="yellow"/>
              </w:rPr>
              <w:t>[Total hors taxes]</w:t>
            </w:r>
            <w:r>
              <w:rPr>
                <w:b w:val="0"/>
                <w:i w:val="0"/>
                <w:sz w:val="19"/>
              </w:rPr>
              <w:t xml:space="preserve">, </w:t>
            </w:r>
            <w:r>
              <w:rPr>
                <w:b w:val="0"/>
                <w:i w:val="0"/>
                <w:sz w:val="19"/>
                <w:highlight w:val="yellow"/>
              </w:rPr>
              <w:t>[TVA ou mention d'exonération]</w:t>
            </w:r>
            <w:r>
              <w:rPr>
                <w:b w:val="0"/>
                <w:i w:val="0"/>
                <w:sz w:val="19"/>
              </w:rPr>
              <w:t xml:space="preserve">, </w:t>
            </w:r>
            <w:r>
              <w:rPr>
                <w:b w:val="0"/>
                <w:i w:val="0"/>
                <w:sz w:val="19"/>
                <w:highlight w:val="yellow"/>
              </w:rPr>
              <w:t>[référence de la facture]</w:t>
            </w:r>
          </w:p>
        </w:tc>
      </w:tr>
      <w:tr>
        <w:tc>
          <w:tcPr>
            <w:tcW w:type="dxa" w:w="2551"/>
          </w:tcPr>
          <w:p>
            <w:r/>
            <w:r>
              <w:rPr>
                <w:b w:val="0"/>
                <w:i w:val="0"/>
                <w:sz w:val="19"/>
              </w:rPr>
              <w:t>Transfert de propriété</w:t>
            </w:r>
          </w:p>
        </w:tc>
        <w:tc>
          <w:tcPr>
            <w:tcW w:type="dxa" w:w="6746"/>
          </w:tcPr>
          <w:p>
            <w:r/>
            <w:r>
              <w:rPr>
                <w:b w:val="0"/>
                <w:i w:val="0"/>
                <w:sz w:val="19"/>
                <w:highlight w:val="yellow"/>
              </w:rPr>
              <w:t>[Date / Réserve de propriété jusqu'au paiement complet]</w:t>
            </w:r>
          </w:p>
        </w:tc>
      </w:tr>
      <w:tr>
        <w:tc>
          <w:tcPr>
            <w:tcW w:type="dxa" w:w="2551"/>
          </w:tcPr>
          <w:p>
            <w:r/>
            <w:r>
              <w:rPr>
                <w:b w:val="0"/>
                <w:i w:val="0"/>
                <w:sz w:val="19"/>
              </w:rPr>
              <w:t>Transfert des risques</w:t>
            </w:r>
          </w:p>
        </w:tc>
        <w:tc>
          <w:tcPr>
            <w:tcW w:type="dxa" w:w="6746"/>
          </w:tcPr>
          <w:p>
            <w:r/>
            <w:r>
              <w:rPr>
                <w:b w:val="0"/>
                <w:i w:val="0"/>
                <w:sz w:val="19"/>
                <w:highlight w:val="yellow"/>
              </w:rPr>
              <w:t>[Date, si elle diffère de celle du transfert de propriété]</w:t>
            </w:r>
          </w:p>
        </w:tc>
      </w:tr>
      <w:tr>
        <w:tc>
          <w:tcPr>
            <w:tcW w:type="dxa" w:w="2551"/>
          </w:tcPr>
          <w:p>
            <w:r/>
            <w:r>
              <w:rPr>
                <w:b w:val="0"/>
                <w:i w:val="0"/>
                <w:sz w:val="19"/>
              </w:rPr>
              <w:t>Données</w:t>
            </w:r>
          </w:p>
        </w:tc>
        <w:tc>
          <w:tcPr>
            <w:tcW w:type="dxa" w:w="6746"/>
          </w:tcPr>
          <w:p>
            <w:r/>
            <w:r>
              <w:rPr>
                <w:b w:val="0"/>
                <w:i w:val="0"/>
                <w:sz w:val="19"/>
                <w:highlight w:val="yellow"/>
              </w:rPr>
              <w:t>[Norme et méthode d'effacement]</w:t>
            </w:r>
            <w:r>
              <w:rPr>
                <w:b w:val="0"/>
                <w:i w:val="0"/>
                <w:sz w:val="19"/>
              </w:rPr>
              <w:t xml:space="preserve">, </w:t>
            </w:r>
            <w:r>
              <w:rPr>
                <w:b w:val="0"/>
                <w:i w:val="0"/>
                <w:sz w:val="19"/>
                <w:highlight w:val="yellow"/>
              </w:rPr>
              <w:t>[nombre de certificats remis]</w:t>
            </w:r>
            <w:r>
              <w:rPr>
                <w:b w:val="0"/>
                <w:i w:val="0"/>
                <w:sz w:val="19"/>
              </w:rPr>
              <w:t xml:space="preserve">, </w:t>
            </w:r>
            <w:r>
              <w:rPr>
                <w:b w:val="0"/>
                <w:i w:val="0"/>
                <w:sz w:val="19"/>
                <w:highlight w:val="yellow"/>
              </w:rPr>
              <w:t>[nombre de supports détruits]</w:t>
            </w:r>
          </w:p>
        </w:tc>
      </w:tr>
      <w:tr>
        <w:tc>
          <w:tcPr>
            <w:tcW w:type="dxa" w:w="2551"/>
          </w:tcPr>
          <w:p>
            <w:r/>
            <w:r>
              <w:rPr>
                <w:b w:val="0"/>
                <w:i w:val="0"/>
                <w:sz w:val="19"/>
              </w:rPr>
              <w:t>Devenir</w:t>
            </w:r>
          </w:p>
        </w:tc>
        <w:tc>
          <w:tcPr>
            <w:tcW w:type="dxa" w:w="6746"/>
          </w:tcPr>
          <w:p>
            <w:r/>
            <w:r>
              <w:rPr>
                <w:b w:val="0"/>
                <w:i w:val="0"/>
                <w:sz w:val="19"/>
                <w:highlight w:val="yellow"/>
              </w:rPr>
              <w:t>[Nombre d'équipements réemployés]</w:t>
            </w:r>
            <w:r>
              <w:rPr>
                <w:b w:val="0"/>
                <w:i w:val="0"/>
                <w:sz w:val="19"/>
              </w:rPr>
              <w:t xml:space="preserve">, </w:t>
            </w:r>
            <w:r>
              <w:rPr>
                <w:b w:val="0"/>
                <w:i w:val="0"/>
                <w:sz w:val="19"/>
                <w:highlight w:val="yellow"/>
              </w:rPr>
              <w:t>[nombre recyclés]</w:t>
            </w:r>
            <w:r>
              <w:rPr>
                <w:b w:val="0"/>
                <w:i w:val="0"/>
                <w:sz w:val="19"/>
              </w:rPr>
              <w:t xml:space="preserve">, </w:t>
            </w:r>
            <w:r>
              <w:rPr>
                <w:b w:val="0"/>
                <w:i w:val="0"/>
                <w:sz w:val="19"/>
                <w:highlight w:val="yellow"/>
              </w:rPr>
              <w:t>[références des justificatifs DEEE]</w:t>
            </w:r>
          </w:p>
        </w:tc>
      </w:tr>
    </w:tbl>
    <w:p>
      <w:pPr>
        <w:spacing w:after="40"/>
      </w:pPr>
    </w:p>
    <w:tbl>
      <w:tblPr>
        <w:tblStyle w:val="TableGrid"/>
        <w:tblW w:type="auto" w:w="0"/>
        <w:tblLook w:firstColumn="1" w:firstRow="1" w:lastColumn="0" w:lastRow="0" w:noHBand="0" w:noVBand="1" w:val="04A0"/>
      </w:tblPr>
      <w:tblGrid>
        <w:gridCol w:w="4816"/>
        <w:gridCol w:w="4816"/>
      </w:tblGrid>
      <w:tr>
        <w:tc>
          <w:tcPr>
            <w:tcW w:type="dxa" w:w="4816"/>
            <w:shd w:val="clear" w:color="auto" w:fill="E7EAF0"/>
          </w:tcPr>
          <w:p>
            <w:r/>
            <w:r>
              <w:rPr>
                <w:b/>
                <w:i w:val="0"/>
                <w:sz w:val="19"/>
              </w:rPr>
              <w:t>Pour le Cédant</w:t>
            </w:r>
          </w:p>
        </w:tc>
        <w:tc>
          <w:tcPr>
            <w:tcW w:type="dxa" w:w="4816"/>
            <w:shd w:val="clear" w:color="auto" w:fill="E7EAF0"/>
          </w:tcPr>
          <w:p>
            <w:r/>
            <w:r>
              <w:rPr>
                <w:b/>
                <w:i w:val="0"/>
                <w:sz w:val="19"/>
              </w:rPr>
              <w:t>Pour le Repreneur</w:t>
            </w:r>
          </w:p>
        </w:tc>
      </w:tr>
      <w:tr>
        <w:tc>
          <w:tcPr>
            <w:tcW w:type="dxa" w:w="4816"/>
          </w:tcPr>
          <w:p>
            <w:r/>
            <w:r>
              <w:rPr>
                <w:b w:val="0"/>
                <w:i w:val="0"/>
                <w:sz w:val="19"/>
              </w:rPr>
              <w:t xml:space="preserve">Nom et fonction : </w:t>
            </w:r>
            <w:r>
              <w:rPr>
                <w:b w:val="0"/>
                <w:i w:val="0"/>
                <w:sz w:val="19"/>
                <w:highlight w:val="yellow"/>
              </w:rPr>
              <w:t>[ ]</w:t>
            </w:r>
          </w:p>
          <w:p>
            <w:r>
              <w:rPr>
                <w:b w:val="0"/>
                <w:i w:val="0"/>
                <w:sz w:val="19"/>
              </w:rPr>
              <w:t xml:space="preserve">Date : </w:t>
            </w:r>
            <w:r>
              <w:rPr>
                <w:b w:val="0"/>
                <w:i w:val="0"/>
                <w:sz w:val="19"/>
                <w:highlight w:val="yellow"/>
              </w:rPr>
              <w:t>[ ]</w:t>
            </w:r>
          </w:p>
          <w:p>
            <w:r>
              <w:rPr>
                <w:b w:val="0"/>
                <w:i w:val="0"/>
                <w:sz w:val="19"/>
              </w:rPr>
              <w:t>Signature :</w:t>
            </w:r>
          </w:p>
          <w:p/>
          <w:p/>
        </w:tc>
        <w:tc>
          <w:tcPr>
            <w:tcW w:type="dxa" w:w="4816"/>
          </w:tcPr>
          <w:p>
            <w:r/>
            <w:r>
              <w:rPr>
                <w:b w:val="0"/>
                <w:i w:val="0"/>
                <w:sz w:val="19"/>
              </w:rPr>
              <w:t xml:space="preserve">Nom et fonction : </w:t>
            </w:r>
            <w:r>
              <w:rPr>
                <w:b w:val="0"/>
                <w:i w:val="0"/>
                <w:sz w:val="19"/>
                <w:highlight w:val="yellow"/>
              </w:rPr>
              <w:t>[ ]</w:t>
            </w:r>
          </w:p>
          <w:p>
            <w:r>
              <w:rPr>
                <w:b w:val="0"/>
                <w:i w:val="0"/>
                <w:sz w:val="19"/>
              </w:rPr>
              <w:t xml:space="preserve">Date : </w:t>
            </w:r>
            <w:r>
              <w:rPr>
                <w:b w:val="0"/>
                <w:i w:val="0"/>
                <w:sz w:val="19"/>
                <w:highlight w:val="yellow"/>
              </w:rPr>
              <w:t>[ ]</w:t>
            </w:r>
          </w:p>
          <w:p>
            <w:r>
              <w:rPr>
                <w:b w:val="0"/>
                <w:i w:val="0"/>
                <w:sz w:val="19"/>
              </w:rPr>
              <w:t>Signature :</w:t>
            </w:r>
          </w:p>
          <w:p/>
          <w:p/>
        </w:tc>
      </w:tr>
    </w:tbl>
    <w:sectPr w:rsidR="00FC693F" w:rsidRPr="0006063C" w:rsidSect="00034616">
      <w:footerReference w:type="default" r:id="rId9"/>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F6673"/>
        <w:sz w:val="17"/>
      </w:rPr>
      <w:t xml:space="preserve">Cahier des charges : reprise de matériel informatique, </w:t>
    </w:r>
    <w:r>
      <w:rPr>
        <w:b w:val="0"/>
        <w:i w:val="0"/>
        <w:color w:val="5F6673"/>
        <w:sz w:val="17"/>
        <w:highlight w:val="yellow"/>
      </w:rPr>
      <w:t>[référence de la consultation]</w:t>
    </w:r>
    <w:r>
      <w:rPr>
        <w:b w:val="0"/>
        <w:i w:val="0"/>
        <w:color w:val="5F6673"/>
        <w:sz w:val="17"/>
      </w:rPr>
      <w:t xml:space="preserve">. Page </w:t>
    </w:r>
    <w:r>
      <w:rPr>
        <w:color w:val="5F6673"/>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color w:val="1B263B"/>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eastAsia="Calibri" w:cs="Calibri"/>
      <w:b/>
      <w:bCs/>
      <w:color w:val="1B263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Calibri" w:hAnsi="Calibri" w:eastAsia="Calibri" w:cs="Calibri"/>
      <w:b/>
      <w:color w:val="1B263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 reprise de matériel informatique</dc:title>
  <dc:subject>Modèle de cahier des charges pour la reprise de matériel informatique en fin d'usage</dc:subject>
  <dc:creator/>
  <cp:keywords>cahier des charges, reprise, matériel informatique, effacement, RGPD, DEEE, réemploi</cp:keywords>
  <dc:description/>
  <cp:lastModifiedBy/>
  <cp:revision>1</cp:revision>
  <dcterms:created xsi:type="dcterms:W3CDTF">2026-10-01T09:00:00Z</dcterms:created>
  <dcterms:modified xsi:type="dcterms:W3CDTF">2026-10-01T09:00:00Z</dcterms:modified>
  <cp:category>Modèle</cp:category>
  <cp:lastPrinted>2026-10-01T09:00:00Z</cp:lastPrinted>
</cp:coreProperties>
</file>